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1847"/>
        <w:gridCol w:w="3258"/>
        <w:gridCol w:w="1100"/>
        <w:gridCol w:w="31"/>
        <w:gridCol w:w="2129"/>
        <w:gridCol w:w="3258"/>
      </w:tblGrid>
      <w:tr w:rsidR="003B6101" w:rsidRPr="00AE6C71" w:rsidTr="003B6101">
        <w:trPr>
          <w:trHeight w:val="42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3B6101" w:rsidRDefault="003B6101" w:rsidP="00C825C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GoBack" w:colFirst="0" w:colLast="0"/>
            <w:r>
              <w:rPr>
                <w:rFonts w:cs="Arial"/>
                <w:b/>
                <w:sz w:val="20"/>
                <w:szCs w:val="20"/>
              </w:rPr>
              <w:t>Wykaz zmian do SZOOP</w:t>
            </w:r>
            <w:r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1"/>
            </w:r>
          </w:p>
        </w:tc>
      </w:tr>
      <w:tr w:rsidR="003B6101" w:rsidRPr="00AE6C71" w:rsidTr="003B6101">
        <w:trPr>
          <w:trHeight w:val="42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3B6101" w:rsidRPr="00887F86" w:rsidRDefault="003B6101" w:rsidP="00C46B56">
            <w:pPr>
              <w:tabs>
                <w:tab w:val="left" w:pos="426"/>
              </w:tabs>
              <w:spacing w:before="120" w:after="120" w:line="240" w:lineRule="auto"/>
              <w:ind w:left="113" w:right="284" w:hanging="113"/>
              <w:jc w:val="center"/>
              <w:rPr>
                <w:rFonts w:cs="Arial"/>
                <w:b/>
                <w:sz w:val="20"/>
                <w:szCs w:val="20"/>
              </w:rPr>
            </w:pPr>
            <w:r w:rsidRPr="00887F86">
              <w:rPr>
                <w:rFonts w:cs="Arial"/>
                <w:b/>
                <w:sz w:val="20"/>
                <w:szCs w:val="20"/>
              </w:rPr>
              <w:t>II.</w:t>
            </w:r>
            <w:r w:rsidRPr="00887F86">
              <w:rPr>
                <w:rFonts w:cs="Arial"/>
                <w:b/>
                <w:sz w:val="20"/>
                <w:szCs w:val="20"/>
              </w:rPr>
              <w:tab/>
              <w:t xml:space="preserve">SZCZEGÓŁOWY OPIS POSZCZEGÓLNYCH OSI PRIORYTETOWYCH REGIONALNEGO PROGRAMU OPERACYJNEGO WOJEWÓDZTWA ŚWIETOKRZYSKIEGO NA LATA </w:t>
            </w:r>
            <w:r>
              <w:rPr>
                <w:rFonts w:cs="Arial"/>
                <w:b/>
                <w:sz w:val="20"/>
                <w:szCs w:val="20"/>
              </w:rPr>
              <w:t>2014-2020</w:t>
            </w:r>
          </w:p>
        </w:tc>
      </w:tr>
      <w:tr w:rsidR="003B6101" w:rsidRPr="00AE6C71" w:rsidTr="003B6101">
        <w:trPr>
          <w:trHeight w:val="553"/>
        </w:trPr>
        <w:tc>
          <w:tcPr>
            <w:tcW w:w="15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3B6101" w:rsidRPr="00AE6C71" w:rsidRDefault="003B6101" w:rsidP="004546B5">
            <w:pPr>
              <w:spacing w:before="120" w:after="12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B6101" w:rsidRPr="00AE6C71" w:rsidRDefault="003B6101" w:rsidP="00C825C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B6101" w:rsidRPr="00AE6C71" w:rsidRDefault="003B6101" w:rsidP="00C825C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3B6101" w:rsidRDefault="003B6101" w:rsidP="00C825C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432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284" w:right="36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Nazwa Działania/ Poddziałania </w:t>
            </w:r>
            <w:r w:rsidRPr="004546B5"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724347">
            <w:pPr>
              <w:spacing w:after="0" w:line="240" w:lineRule="auto"/>
              <w:ind w:left="113" w:right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Działanie …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A7B29">
            <w:pPr>
              <w:spacing w:after="60" w:line="240" w:lineRule="auto"/>
              <w:ind w:left="113" w:right="284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6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6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421"/>
        </w:trPr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="Arial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724347">
            <w:pPr>
              <w:spacing w:after="0" w:line="240" w:lineRule="auto"/>
              <w:ind w:left="113" w:right="3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Poddziałanie …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A7B29">
            <w:pPr>
              <w:spacing w:after="60" w:line="240" w:lineRule="auto"/>
              <w:ind w:left="113" w:right="284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6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6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84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284" w:right="36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Cel/e szczegółowy/e Działania/ Poddziałania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724347">
            <w:pPr>
              <w:spacing w:after="0" w:line="240" w:lineRule="auto"/>
              <w:ind w:left="318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after="0" w:line="240" w:lineRule="auto"/>
              <w:ind w:left="318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after="0" w:line="240" w:lineRule="auto"/>
              <w:ind w:left="318"/>
              <w:rPr>
                <w:rFonts w:cs="Arial"/>
                <w:sz w:val="20"/>
                <w:szCs w:val="20"/>
              </w:rPr>
            </w:pPr>
          </w:p>
        </w:tc>
      </w:tr>
      <w:tr w:rsidR="003B6101" w:rsidRPr="005F0EF9" w:rsidTr="003B6101">
        <w:trPr>
          <w:trHeight w:val="53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284" w:right="36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Lista wskaźników rezultatu bezpośredniego 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724347">
            <w:pPr>
              <w:spacing w:after="0" w:line="240" w:lineRule="auto"/>
              <w:ind w:left="312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5F0EF9" w:rsidRDefault="003B6101" w:rsidP="00724347">
            <w:pPr>
              <w:spacing w:after="0" w:line="240" w:lineRule="auto"/>
              <w:ind w:left="312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5F0EF9" w:rsidRDefault="003B6101" w:rsidP="00724347">
            <w:pPr>
              <w:spacing w:after="0" w:line="240" w:lineRule="auto"/>
              <w:ind w:left="312"/>
              <w:rPr>
                <w:rFonts w:cs="Arial"/>
                <w:sz w:val="20"/>
                <w:szCs w:val="20"/>
              </w:rPr>
            </w:pPr>
          </w:p>
        </w:tc>
      </w:tr>
      <w:tr w:rsidR="003B6101" w:rsidRPr="00D84553" w:rsidTr="003B6101">
        <w:trPr>
          <w:trHeight w:val="389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284" w:right="36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Lista wskaźników produktu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724347">
            <w:pPr>
              <w:spacing w:after="0" w:line="240" w:lineRule="auto"/>
              <w:ind w:left="315" w:right="284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D84553" w:rsidRDefault="003B6101" w:rsidP="00724347">
            <w:pPr>
              <w:spacing w:after="0" w:line="240" w:lineRule="auto"/>
              <w:ind w:left="315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D84553" w:rsidRDefault="003B6101" w:rsidP="00724347">
            <w:pPr>
              <w:spacing w:after="0" w:line="240" w:lineRule="auto"/>
              <w:ind w:left="315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428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284" w:right="284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Typy projektów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A7B29">
            <w:pPr>
              <w:spacing w:after="0" w:line="240" w:lineRule="auto"/>
              <w:ind w:left="113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left="113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left="113"/>
              <w:rPr>
                <w:rFonts w:cs="Arial"/>
                <w:i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406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tabs>
                <w:tab w:val="left" w:pos="284"/>
              </w:tabs>
              <w:suppressAutoHyphens/>
              <w:spacing w:before="40" w:after="40" w:line="240" w:lineRule="auto"/>
              <w:ind w:left="284" w:right="36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Typ beneficjenta 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724347">
            <w:pPr>
              <w:spacing w:before="40" w:after="40" w:line="240" w:lineRule="auto"/>
              <w:ind w:left="315" w:right="34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315" w:right="3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315" w:right="3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70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724347">
            <w:pPr>
              <w:numPr>
                <w:ilvl w:val="0"/>
                <w:numId w:val="23"/>
              </w:numPr>
              <w:tabs>
                <w:tab w:val="left" w:pos="284"/>
              </w:tabs>
              <w:suppressAutoHyphens/>
              <w:spacing w:after="0" w:line="240" w:lineRule="auto"/>
              <w:ind w:left="284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Grupa docelowa/ ostateczni odbiorcy wsparcia 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724347">
            <w:pPr>
              <w:spacing w:after="0"/>
              <w:ind w:left="316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after="0"/>
              <w:ind w:left="316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after="0"/>
              <w:ind w:left="316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332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tabs>
                <w:tab w:val="left" w:pos="284"/>
              </w:tabs>
              <w:suppressAutoHyphens/>
              <w:spacing w:after="0" w:line="240" w:lineRule="auto"/>
              <w:ind w:left="284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Kategoria(e) regionu(ów) </w:t>
            </w:r>
            <w:r w:rsidRPr="004546B5">
              <w:rPr>
                <w:rFonts w:cs="Arial"/>
                <w:sz w:val="18"/>
                <w:szCs w:val="18"/>
              </w:rPr>
              <w:br/>
              <w:t xml:space="preserve">wraz z przypisaniem </w:t>
            </w:r>
            <w:r w:rsidRPr="004546B5">
              <w:rPr>
                <w:rFonts w:cs="Arial"/>
                <w:sz w:val="18"/>
                <w:szCs w:val="18"/>
              </w:rPr>
              <w:br/>
              <w:t>kwot UE (EUR)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4546B5">
            <w:pPr>
              <w:spacing w:before="120" w:after="120" w:line="240" w:lineRule="auto"/>
              <w:ind w:left="34" w:right="284" w:hanging="3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Działanie …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6101" w:rsidRPr="004546B5" w:rsidRDefault="003B6101" w:rsidP="00BA7B29">
            <w:pPr>
              <w:spacing w:after="0" w:line="240" w:lineRule="auto"/>
              <w:ind w:left="113" w:right="284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101" w:rsidRPr="00AE6C71" w:rsidRDefault="003B6101" w:rsidP="00BA7B29">
            <w:pPr>
              <w:spacing w:after="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4546B5">
            <w:pPr>
              <w:spacing w:before="120" w:after="120" w:line="240" w:lineRule="auto"/>
              <w:ind w:left="34" w:right="36" w:hanging="3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Poddziałanie ...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BA7B29">
            <w:pPr>
              <w:spacing w:before="120" w:after="120" w:line="240" w:lineRule="auto"/>
              <w:ind w:left="113" w:right="284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rPr>
                <w:rFonts w:cs="Arial"/>
                <w:b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1414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4546B5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284" w:hanging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lastRenderedPageBreak/>
              <w:t xml:space="preserve">Mechanizmy powiązania interwencji z innymi Działaniami/ Poddziałaniami </w:t>
            </w:r>
            <w:r w:rsidRPr="004546B5">
              <w:rPr>
                <w:rFonts w:cs="Arial"/>
                <w:sz w:val="18"/>
                <w:szCs w:val="18"/>
              </w:rPr>
              <w:br/>
              <w:t>w ramach PO lub z innymi PO 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72434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52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42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Instrumenty terytorialne</w:t>
            </w:r>
          </w:p>
          <w:p w:rsidR="003B6101" w:rsidRPr="004546B5" w:rsidRDefault="003B6101" w:rsidP="004546B5">
            <w:pPr>
              <w:suppressAutoHyphens/>
              <w:spacing w:after="0" w:line="240" w:lineRule="auto"/>
              <w:ind w:left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tabs>
                <w:tab w:val="left" w:pos="1449"/>
              </w:tabs>
              <w:spacing w:after="0" w:line="240" w:lineRule="auto"/>
              <w:ind w:left="113" w:right="36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lef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left="113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1838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425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Tryb(y) wyboru projektów</w:t>
            </w:r>
            <w:r w:rsidRPr="004546B5">
              <w:rPr>
                <w:rFonts w:cs="Arial"/>
                <w:sz w:val="18"/>
                <w:szCs w:val="18"/>
              </w:rPr>
              <w:br/>
              <w:t xml:space="preserve">oraz wskazanie podmiotu odpowiedzialnego za nabór i ocenę wniosków oraz przyjmowanie protestów 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360" w:lineRule="auto"/>
              <w:ind w:lef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right="284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240" w:lineRule="auto"/>
              <w:ind w:right="284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97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426" w:right="284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Limity i ograniczenia w realizacji </w:t>
            </w:r>
            <w:r>
              <w:rPr>
                <w:rFonts w:cs="Arial"/>
                <w:sz w:val="18"/>
                <w:szCs w:val="18"/>
              </w:rPr>
              <w:t>p</w:t>
            </w:r>
            <w:r w:rsidRPr="004546B5">
              <w:rPr>
                <w:rFonts w:cs="Arial"/>
                <w:sz w:val="18"/>
                <w:szCs w:val="18"/>
              </w:rPr>
              <w:t>rojektów</w:t>
            </w:r>
          </w:p>
          <w:p w:rsidR="003B6101" w:rsidRPr="004546B5" w:rsidRDefault="003B6101" w:rsidP="00BA7B29">
            <w:pPr>
              <w:suppressAutoHyphens/>
              <w:spacing w:after="0" w:line="240" w:lineRule="auto"/>
              <w:ind w:left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after="0" w:line="360" w:lineRule="auto"/>
              <w:ind w:lef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pStyle w:val="Nagwek4"/>
              <w:numPr>
                <w:ilvl w:val="0"/>
                <w:numId w:val="0"/>
              </w:numPr>
              <w:ind w:left="720" w:hanging="360"/>
              <w:rPr>
                <w:rFonts w:cs="Arial"/>
                <w:b w:val="0"/>
                <w:bCs w:val="0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pStyle w:val="Nagwek4"/>
              <w:numPr>
                <w:ilvl w:val="0"/>
                <w:numId w:val="0"/>
              </w:numPr>
              <w:ind w:left="720" w:hanging="360"/>
              <w:rPr>
                <w:rFonts w:cs="Arial"/>
                <w:b w:val="0"/>
                <w:bCs w:val="0"/>
                <w:color w:val="auto"/>
                <w:sz w:val="20"/>
                <w:szCs w:val="20"/>
                <w:lang w:eastAsia="pl-PL"/>
              </w:rPr>
            </w:pPr>
          </w:p>
        </w:tc>
      </w:tr>
      <w:tr w:rsidR="003B6101" w:rsidRPr="00AE6C71" w:rsidTr="003B6101">
        <w:trPr>
          <w:trHeight w:val="9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C825C9">
            <w:pPr>
              <w:numPr>
                <w:ilvl w:val="0"/>
                <w:numId w:val="23"/>
              </w:numPr>
              <w:suppressAutoHyphens/>
              <w:spacing w:after="0" w:line="240" w:lineRule="auto"/>
              <w:ind w:left="425" w:right="34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Warunki i planowany zakres stosowania </w:t>
            </w:r>
            <w:r w:rsidRPr="004546B5">
              <w:rPr>
                <w:rFonts w:cs="Arial"/>
                <w:sz w:val="18"/>
                <w:szCs w:val="18"/>
              </w:rPr>
              <w:br/>
            </w:r>
            <w:r w:rsidRPr="004546B5">
              <w:rPr>
                <w:rFonts w:cs="Arial"/>
                <w:i/>
                <w:sz w:val="18"/>
                <w:szCs w:val="18"/>
              </w:rPr>
              <w:t>cross-</w:t>
            </w:r>
            <w:proofErr w:type="spellStart"/>
            <w:r w:rsidRPr="004546B5">
              <w:rPr>
                <w:rFonts w:cs="Arial"/>
                <w:i/>
                <w:sz w:val="18"/>
                <w:szCs w:val="18"/>
              </w:rPr>
              <w:t>financingu</w:t>
            </w:r>
            <w:proofErr w:type="spellEnd"/>
            <w:r w:rsidRPr="004546B5">
              <w:rPr>
                <w:rFonts w:cs="Arial"/>
                <w:sz w:val="18"/>
                <w:szCs w:val="18"/>
              </w:rPr>
              <w:t xml:space="preserve"> (%)</w:t>
            </w:r>
          </w:p>
          <w:p w:rsidR="003B6101" w:rsidRPr="004546B5" w:rsidRDefault="003B6101" w:rsidP="00C825C9">
            <w:pPr>
              <w:suppressAutoHyphens/>
              <w:spacing w:after="0" w:line="240" w:lineRule="auto"/>
              <w:ind w:left="425" w:right="3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120" w:line="240" w:lineRule="auto"/>
              <w:ind w:left="285" w:right="-108" w:hanging="285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120" w:line="240" w:lineRule="auto"/>
              <w:ind w:left="285" w:right="-108" w:hanging="285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1410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C825C9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Dopuszczalna maksymalna wartość zakupionych środków trwałych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546B5">
              <w:rPr>
                <w:rFonts w:cs="Arial"/>
                <w:sz w:val="18"/>
                <w:szCs w:val="18"/>
              </w:rPr>
              <w:t>jako % wydatków kwalifikowalnych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/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887F86">
            <w:pPr>
              <w:spacing w:before="40" w:after="40" w:line="240" w:lineRule="auto"/>
              <w:ind w:left="315" w:right="-108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887F86">
            <w:pPr>
              <w:spacing w:before="40" w:after="40" w:line="240" w:lineRule="auto"/>
              <w:ind w:left="315" w:right="-108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70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Warunki uwzględniania dochodu w projekcie </w:t>
            </w:r>
            <w:r w:rsidRPr="004546B5">
              <w:rPr>
                <w:rFonts w:cs="Arial"/>
                <w:sz w:val="18"/>
                <w:szCs w:val="18"/>
              </w:rPr>
              <w:br/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/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287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287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1105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lastRenderedPageBreak/>
              <w:t>Warunki stosowania uproszczonych form rozliczania wydatków i planowany zakres systemu zaliczek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/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315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315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1403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C825C9">
            <w:pPr>
              <w:numPr>
                <w:ilvl w:val="0"/>
                <w:numId w:val="23"/>
              </w:numPr>
              <w:suppressAutoHyphens/>
              <w:spacing w:before="40" w:after="0" w:line="240" w:lineRule="auto"/>
              <w:ind w:left="425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Pomoc publiczna </w:t>
            </w:r>
            <w:r w:rsidRPr="004546B5">
              <w:rPr>
                <w:rFonts w:cs="Arial"/>
                <w:sz w:val="18"/>
                <w:szCs w:val="18"/>
              </w:rPr>
              <w:br/>
              <w:t xml:space="preserve">i pomoc </w:t>
            </w:r>
            <w:r w:rsidRPr="004546B5">
              <w:rPr>
                <w:rFonts w:cs="Arial"/>
                <w:i/>
                <w:sz w:val="18"/>
                <w:szCs w:val="18"/>
              </w:rPr>
              <w:t xml:space="preserve">de </w:t>
            </w:r>
            <w:proofErr w:type="spellStart"/>
            <w:r w:rsidRPr="004546B5">
              <w:rPr>
                <w:rFonts w:cs="Arial"/>
                <w:i/>
                <w:sz w:val="18"/>
                <w:szCs w:val="18"/>
              </w:rPr>
              <w:t>minimis</w:t>
            </w:r>
            <w:proofErr w:type="spellEnd"/>
            <w:r w:rsidRPr="004546B5">
              <w:rPr>
                <w:rFonts w:cs="Arial"/>
                <w:sz w:val="18"/>
                <w:szCs w:val="18"/>
              </w:rPr>
              <w:br/>
              <w:t>(rodzaj i przeznaczenie pomocy, unijna lub </w:t>
            </w:r>
          </w:p>
          <w:p w:rsidR="003B6101" w:rsidRPr="004546B5" w:rsidRDefault="003B6101" w:rsidP="00C825C9">
            <w:pPr>
              <w:suppressAutoHyphens/>
              <w:spacing w:after="40" w:line="240" w:lineRule="auto"/>
              <w:ind w:left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krajowa podstawa prawna)</w:t>
            </w:r>
            <w:r w:rsidRPr="004546B5">
              <w:rPr>
                <w:rStyle w:val="Odwoanieprzypisudolnego"/>
                <w:sz w:val="18"/>
                <w:szCs w:val="18"/>
              </w:rPr>
              <w:t xml:space="preserve"> 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/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315" w:right="-108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724347">
            <w:pPr>
              <w:spacing w:before="40" w:after="40" w:line="240" w:lineRule="auto"/>
              <w:ind w:left="315" w:right="-108"/>
              <w:rPr>
                <w:rFonts w:cs="Arial"/>
                <w:i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C825C9">
            <w:pPr>
              <w:numPr>
                <w:ilvl w:val="0"/>
                <w:numId w:val="23"/>
              </w:numPr>
              <w:tabs>
                <w:tab w:val="left" w:pos="426"/>
              </w:tabs>
              <w:suppressAutoHyphens/>
              <w:spacing w:after="40" w:line="240" w:lineRule="auto"/>
              <w:ind w:left="425" w:right="34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Maksymalny % poziom dofinansowania UE wydatków kwalifikowalnych </w:t>
            </w:r>
            <w:r w:rsidRPr="004546B5">
              <w:rPr>
                <w:rFonts w:cs="Arial"/>
                <w:sz w:val="18"/>
                <w:szCs w:val="18"/>
              </w:rPr>
              <w:br/>
              <w:t>na poziomie projektu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546B5">
              <w:rPr>
                <w:rFonts w:cs="Arial"/>
                <w:sz w:val="18"/>
                <w:szCs w:val="18"/>
              </w:rPr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/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line="240" w:lineRule="auto"/>
              <w:ind w:left="113" w:right="284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line="240" w:lineRule="auto"/>
              <w:ind w:left="113" w:right="284"/>
              <w:rPr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C825C9">
            <w:pPr>
              <w:numPr>
                <w:ilvl w:val="0"/>
                <w:numId w:val="23"/>
              </w:numPr>
              <w:suppressAutoHyphens/>
              <w:spacing w:before="40" w:after="0" w:line="240" w:lineRule="auto"/>
              <w:ind w:left="425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 xml:space="preserve">Maksymalny % poziom dofinansowania całkowitego wydatków kwalifikowalnych </w:t>
            </w:r>
            <w:r w:rsidRPr="004546B5">
              <w:rPr>
                <w:rFonts w:cs="Arial"/>
                <w:sz w:val="18"/>
                <w:szCs w:val="18"/>
              </w:rPr>
              <w:br/>
              <w:t xml:space="preserve">na poziomie projektu </w:t>
            </w:r>
            <w:r w:rsidRPr="004546B5">
              <w:rPr>
                <w:rFonts w:cs="Arial"/>
                <w:sz w:val="18"/>
                <w:szCs w:val="18"/>
              </w:rPr>
              <w:br/>
              <w:t xml:space="preserve">(środki UE + ewentualne współfinansowanie </w:t>
            </w:r>
            <w:r w:rsidRPr="004546B5">
              <w:rPr>
                <w:rFonts w:cs="Arial"/>
                <w:sz w:val="18"/>
                <w:szCs w:val="18"/>
              </w:rPr>
              <w:br/>
              <w:t>z budżetu państwa lub innych źródeł przyznawane beneficjentowi przez właściwą instytucję)</w:t>
            </w:r>
          </w:p>
          <w:p w:rsidR="003B6101" w:rsidRPr="004546B5" w:rsidRDefault="003B6101" w:rsidP="00C825C9">
            <w:pPr>
              <w:suppressAutoHyphens/>
              <w:spacing w:after="40" w:line="240" w:lineRule="auto"/>
              <w:ind w:left="425" w:right="284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/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right="3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Minimalny wkład własny beneficjenta jako % wydatków kwalifikowalnych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AE6C71" w:rsidRDefault="003B6101" w:rsidP="00887F86">
            <w:pPr>
              <w:spacing w:before="40" w:after="40" w:line="240" w:lineRule="auto"/>
              <w:ind w:left="113" w:right="36" w:hanging="79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right="3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lastRenderedPageBreak/>
              <w:t>Minimalna</w:t>
            </w:r>
            <w:r w:rsidRPr="004546B5">
              <w:rPr>
                <w:rFonts w:cs="Arial"/>
                <w:sz w:val="18"/>
                <w:szCs w:val="18"/>
              </w:rPr>
              <w:br/>
              <w:t>i maksymalna wartość projektu (PLN) 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right="35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Minimalna i maksymalna wartość wydatków kwalifikowalnych projektu (PLN) (jeśli dotyczy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0" w:line="240" w:lineRule="auto"/>
              <w:ind w:left="425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Kwota alokacji UE na instrumenty finansowe (EUR)</w:t>
            </w:r>
          </w:p>
          <w:p w:rsidR="003B6101" w:rsidRPr="004546B5" w:rsidRDefault="003B6101" w:rsidP="00BA7B29">
            <w:pPr>
              <w:suppressAutoHyphens/>
              <w:spacing w:after="40" w:line="240" w:lineRule="auto"/>
              <w:ind w:left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(jeśli dotyczy)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suppressAutoHyphens/>
              <w:spacing w:before="40" w:after="40" w:line="240" w:lineRule="auto"/>
              <w:ind w:left="42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Mechanizm wdrażania instrumentów finansowych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4546B5">
            <w:pPr>
              <w:numPr>
                <w:ilvl w:val="0"/>
                <w:numId w:val="23"/>
              </w:numPr>
              <w:suppressAutoHyphens/>
              <w:spacing w:before="40" w:after="0" w:line="240" w:lineRule="auto"/>
              <w:ind w:left="425" w:hanging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Rodzaj wsparcia instrumentów finansowych oraz </w:t>
            </w:r>
          </w:p>
          <w:p w:rsidR="003B6101" w:rsidRPr="004546B5" w:rsidRDefault="003B6101" w:rsidP="004546B5">
            <w:pPr>
              <w:suppressAutoHyphens/>
              <w:spacing w:after="40" w:line="240" w:lineRule="auto"/>
              <w:ind w:left="425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najważniejsze warunki przyznawania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546B5" w:rsidRDefault="003B6101" w:rsidP="00B13C41">
            <w:pPr>
              <w:numPr>
                <w:ilvl w:val="0"/>
                <w:numId w:val="23"/>
              </w:numPr>
              <w:tabs>
                <w:tab w:val="left" w:pos="426"/>
              </w:tabs>
              <w:suppressAutoHyphens/>
              <w:spacing w:before="40" w:after="40" w:line="240" w:lineRule="auto"/>
              <w:ind w:left="426" w:hanging="426"/>
              <w:rPr>
                <w:rFonts w:cs="Arial"/>
                <w:sz w:val="18"/>
                <w:szCs w:val="18"/>
              </w:rPr>
            </w:pPr>
            <w:r w:rsidRPr="004546B5">
              <w:rPr>
                <w:rFonts w:cs="Arial"/>
                <w:sz w:val="18"/>
                <w:szCs w:val="18"/>
              </w:rPr>
              <w:t>Katalog ostatecznych odbiorców instrumentów finansowych</w:t>
            </w:r>
          </w:p>
        </w:tc>
        <w:tc>
          <w:tcPr>
            <w:tcW w:w="1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43276E" w:rsidRDefault="003B6101" w:rsidP="0043276E">
            <w:pPr>
              <w:pStyle w:val="Spistreci1"/>
              <w:rPr>
                <w:rFonts w:cs="Arial"/>
                <w:sz w:val="20"/>
                <w:szCs w:val="20"/>
              </w:rPr>
            </w:pPr>
            <w:r w:rsidRPr="0043276E">
              <w:t>IV.</w:t>
            </w:r>
            <w:r w:rsidRPr="0043276E">
              <w:rPr>
                <w:rFonts w:eastAsiaTheme="minorEastAsia" w:cstheme="minorBidi"/>
                <w:szCs w:val="22"/>
              </w:rPr>
              <w:tab/>
            </w:r>
            <w:r w:rsidRPr="0043276E">
              <w:t>WYMIAR TERYTORIALNY PROWADZONEJ INTERWENCJI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43276E" w:rsidRDefault="003B6101" w:rsidP="0043276E">
            <w:pPr>
              <w:pStyle w:val="Spistreci1"/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1.1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1.2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2.1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A 2.2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3.1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3.2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 4.1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tabs>
                <w:tab w:val="left" w:pos="426"/>
              </w:tabs>
              <w:suppressAutoHyphens/>
              <w:spacing w:before="40" w:after="4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 4.2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43276E">
            <w:pPr>
              <w:pStyle w:val="Spistreci1"/>
            </w:pPr>
            <w:r w:rsidRPr="0043276E">
              <w:t>V. WYKAZ NAJWAŻNIEJSZYCH DOKUMENTÓW SŁUŻĄCYCH REALIZACJI RPOWŚ 2014 – 2020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43276E" w:rsidRDefault="003B6101" w:rsidP="0043276E">
            <w:pPr>
              <w:pStyle w:val="Spistreci1"/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024DF1" w:rsidRDefault="003B6101" w:rsidP="00830E52">
            <w:pPr>
              <w:ind w:firstLine="708"/>
              <w:rPr>
                <w:b/>
                <w:lang w:eastAsia="pl-PL"/>
              </w:rPr>
            </w:pP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469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43276E">
            <w:pPr>
              <w:rPr>
                <w:rFonts w:cs="Arial"/>
                <w:sz w:val="20"/>
                <w:szCs w:val="20"/>
              </w:rPr>
            </w:pPr>
            <w:r w:rsidRPr="0043276E">
              <w:rPr>
                <w:sz w:val="20"/>
                <w:szCs w:val="20"/>
                <w:lang w:eastAsia="pl-PL"/>
              </w:rPr>
              <w:t>Dokumenty UE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43276E">
            <w:pPr>
              <w:pStyle w:val="Default"/>
              <w:widowControl w:val="0"/>
              <w:jc w:val="both"/>
              <w:rPr>
                <w:sz w:val="20"/>
                <w:szCs w:val="20"/>
                <w:lang w:eastAsia="pl-PL"/>
              </w:rPr>
            </w:pPr>
            <w:r w:rsidRPr="0043276E">
              <w:rPr>
                <w:rFonts w:cs="Arial"/>
                <w:sz w:val="20"/>
                <w:szCs w:val="20"/>
              </w:rPr>
              <w:t>Rozporządzenia delegowane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43276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3276E">
              <w:rPr>
                <w:rFonts w:eastAsia="Times New Roman" w:cs="Arial"/>
                <w:sz w:val="20"/>
                <w:szCs w:val="20"/>
                <w:lang w:eastAsia="pl-PL"/>
              </w:rPr>
              <w:t>Rozporządzenia wykonawcze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43276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3276E">
              <w:rPr>
                <w:sz w:val="20"/>
                <w:szCs w:val="20"/>
                <w:lang w:eastAsia="pl-PL"/>
              </w:rPr>
              <w:t>Dokumenty krajowe – ustawy i rozporządzenia, wytyczne i inne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346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  <w:r w:rsidRPr="0043276E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>II. SŁOWNIK TERMINOLOGICZNY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43276E" w:rsidRDefault="003B6101" w:rsidP="00BA7B29">
            <w:pPr>
              <w:spacing w:before="40" w:after="40" w:line="240" w:lineRule="auto"/>
              <w:ind w:left="113" w:right="284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408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spacing w:line="240" w:lineRule="auto"/>
              <w:ind w:right="284"/>
              <w:rPr>
                <w:b/>
                <w:color w:val="002060"/>
                <w:kern w:val="32"/>
                <w:sz w:val="24"/>
              </w:rPr>
            </w:pP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458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0"/>
                <w:szCs w:val="20"/>
              </w:rPr>
            </w:pPr>
            <w:r w:rsidRPr="0043276E">
              <w:rPr>
                <w:b/>
                <w:color w:val="000000" w:themeColor="text1"/>
                <w:kern w:val="32"/>
                <w:sz w:val="20"/>
                <w:szCs w:val="20"/>
              </w:rPr>
              <w:t>...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282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  <w:bookmarkStart w:id="1" w:name="_Toc483390584"/>
            <w:r w:rsidRPr="0043276E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 xml:space="preserve">III. </w:t>
            </w:r>
            <w:r w:rsidRPr="00681C67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>SPIS SKRÓTÓW</w:t>
            </w:r>
            <w:bookmarkEnd w:id="1"/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43276E" w:rsidRDefault="003B6101" w:rsidP="00BA7B29">
            <w:pPr>
              <w:spacing w:before="40" w:after="40" w:line="240" w:lineRule="auto"/>
              <w:ind w:left="113" w:right="284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344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4"/>
              </w:rPr>
            </w:pP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0"/>
                <w:szCs w:val="20"/>
              </w:rPr>
            </w:pPr>
            <w:r w:rsidRPr="0043276E">
              <w:rPr>
                <w:b/>
                <w:color w:val="000000" w:themeColor="text1"/>
                <w:kern w:val="32"/>
                <w:sz w:val="20"/>
                <w:szCs w:val="20"/>
              </w:rPr>
              <w:t>...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  <w:p w:rsidR="003B6101" w:rsidRPr="00AE6C7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BA7B29">
            <w:pPr>
              <w:spacing w:before="40" w:after="40" w:line="240" w:lineRule="auto"/>
              <w:ind w:left="113" w:right="284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  <w:r w:rsidRPr="0073045F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lastRenderedPageBreak/>
              <w:t>ZMIANY W ZAŁĄCZNIKACH DO SZOOP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BA7B29">
            <w:pPr>
              <w:spacing w:before="40" w:after="40" w:line="240" w:lineRule="auto"/>
              <w:ind w:left="113" w:right="284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BA7B29">
            <w:pPr>
              <w:spacing w:before="40" w:after="40" w:line="240" w:lineRule="auto"/>
              <w:ind w:left="113" w:right="284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  <w:r w:rsidRPr="0073045F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>ZAŁ. 1 Tabela transpozycji PI na Działania/Poddziałania w poszczególnych osiach priorytetowych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BA7B29">
            <w:pPr>
              <w:spacing w:before="40" w:after="40" w:line="240" w:lineRule="auto"/>
              <w:ind w:left="113" w:right="284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342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681C67">
            <w:pPr>
              <w:spacing w:line="240" w:lineRule="auto"/>
              <w:ind w:left="833" w:right="284"/>
              <w:rPr>
                <w:b/>
                <w:color w:val="000000" w:themeColor="text1"/>
                <w:kern w:val="32"/>
                <w:sz w:val="20"/>
                <w:szCs w:val="20"/>
              </w:rPr>
            </w:pP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4"/>
              </w:rPr>
            </w:pPr>
            <w:r w:rsidRPr="0043276E">
              <w:rPr>
                <w:b/>
                <w:color w:val="000000" w:themeColor="text1"/>
                <w:kern w:val="32"/>
                <w:sz w:val="20"/>
                <w:szCs w:val="20"/>
              </w:rPr>
              <w:t>...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398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73045F">
            <w:pPr>
              <w:spacing w:after="0"/>
            </w:pPr>
            <w:r w:rsidRPr="0073045F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>ZAŁ. 2 Tabela wskaźników rezultatu bezpośredniego i produktu dla Działań i Poddziałań</w:t>
            </w:r>
            <w:r w:rsidRPr="00D9119B">
              <w:t xml:space="preserve">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398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398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01" w:rsidRPr="0073045F" w:rsidRDefault="003B6101" w:rsidP="00C46B56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  <w:r>
              <w:rPr>
                <w:b/>
                <w:color w:val="000000" w:themeColor="text1"/>
                <w:kern w:val="32"/>
                <w:sz w:val="20"/>
                <w:szCs w:val="20"/>
              </w:rPr>
              <w:t xml:space="preserve">                   </w:t>
            </w:r>
            <w:r w:rsidRPr="0043276E">
              <w:rPr>
                <w:b/>
                <w:color w:val="000000" w:themeColor="text1"/>
                <w:kern w:val="32"/>
                <w:sz w:val="20"/>
                <w:szCs w:val="20"/>
              </w:rPr>
              <w:t>...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292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  <w:r w:rsidRPr="0073045F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>ZAŁ 3.Kryteria wyboru projektów dla poszczególnych osi priorytetowych, działań i poddziałań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400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4"/>
              </w:rPr>
            </w:pP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400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4"/>
              </w:rPr>
            </w:pPr>
            <w:r w:rsidRPr="0043276E">
              <w:rPr>
                <w:b/>
                <w:color w:val="000000" w:themeColor="text1"/>
                <w:kern w:val="32"/>
                <w:sz w:val="20"/>
                <w:szCs w:val="20"/>
              </w:rPr>
              <w:t>...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38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73045F">
            <w:pPr>
              <w:spacing w:after="0"/>
              <w:rPr>
                <w:rFonts w:cs="Arial"/>
                <w:color w:val="000000" w:themeColor="text1"/>
                <w:sz w:val="20"/>
                <w:szCs w:val="20"/>
              </w:rPr>
            </w:pPr>
            <w:r w:rsidRPr="0073045F"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  <w:t>ZAŁ 5. WYKAZ PROJEKTÓW ZIDENTYFIKOWANYCH PRZEZ IZ RPOWŚ 2014-2020 W RAMACH TRYBU POZAKONKURSOWEGO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Pr="0073045F" w:rsidRDefault="003B6101" w:rsidP="0073045F">
            <w:pPr>
              <w:spacing w:after="0"/>
              <w:rPr>
                <w:rFonts w:asciiTheme="minorHAnsi" w:eastAsia="Times New Roman" w:hAnsiTheme="minorHAnsi"/>
                <w:b/>
                <w:noProof/>
                <w:szCs w:val="24"/>
                <w:lang w:eastAsia="pl-PL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681C67">
            <w:pPr>
              <w:spacing w:line="240" w:lineRule="auto"/>
              <w:ind w:left="833" w:right="284"/>
              <w:rPr>
                <w:b/>
                <w:color w:val="002060"/>
                <w:kern w:val="32"/>
                <w:sz w:val="24"/>
              </w:rPr>
            </w:pP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Obowiązujący zapis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101" w:rsidRPr="00AE6C7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Propozycja zmiany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120" w:after="120" w:line="240" w:lineRule="auto"/>
              <w:ind w:left="113" w:right="284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zmiany</w:t>
            </w: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43276E" w:rsidRDefault="003B6101" w:rsidP="00681C67">
            <w:pPr>
              <w:spacing w:line="240" w:lineRule="auto"/>
              <w:ind w:left="833" w:right="284"/>
              <w:rPr>
                <w:b/>
                <w:color w:val="000000" w:themeColor="text1"/>
                <w:kern w:val="32"/>
                <w:sz w:val="20"/>
                <w:szCs w:val="20"/>
              </w:rPr>
            </w:pPr>
            <w:r>
              <w:rPr>
                <w:b/>
                <w:color w:val="000000" w:themeColor="text1"/>
                <w:kern w:val="32"/>
                <w:sz w:val="20"/>
                <w:szCs w:val="20"/>
              </w:rPr>
              <w:t>…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tr w:rsidR="003B6101" w:rsidRPr="00AE6C71" w:rsidTr="003B6101">
        <w:trPr>
          <w:trHeight w:val="5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  <w:r w:rsidRPr="003B6101">
              <w:rPr>
                <w:b/>
                <w:kern w:val="32"/>
              </w:rPr>
              <w:t>Inne</w:t>
            </w:r>
          </w:p>
        </w:tc>
      </w:tr>
      <w:tr w:rsidR="003B6101" w:rsidRPr="00AE6C71" w:rsidTr="003B6101">
        <w:trPr>
          <w:trHeight w:val="57"/>
        </w:trPr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Pr="003B6101" w:rsidRDefault="003B6101" w:rsidP="00681C67">
            <w:pPr>
              <w:spacing w:line="240" w:lineRule="auto"/>
              <w:ind w:left="833" w:right="284"/>
              <w:rPr>
                <w:b/>
                <w:kern w:val="32"/>
              </w:rPr>
            </w:pPr>
            <w:r w:rsidRPr="003B6101">
              <w:rPr>
                <w:b/>
                <w:kern w:val="32"/>
              </w:rPr>
              <w:t>…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1" w:rsidRDefault="003B6101" w:rsidP="00BA7B29">
            <w:pPr>
              <w:spacing w:before="40" w:after="40" w:line="240" w:lineRule="auto"/>
              <w:ind w:left="113" w:right="284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:rsidR="0049313D" w:rsidRDefault="0049313D"/>
    <w:sectPr w:rsidR="0049313D" w:rsidSect="00887F8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26F" w:rsidRDefault="0054526F" w:rsidP="00B13C41">
      <w:pPr>
        <w:spacing w:after="0" w:line="240" w:lineRule="auto"/>
      </w:pPr>
      <w:r>
        <w:separator/>
      </w:r>
    </w:p>
  </w:endnote>
  <w:endnote w:type="continuationSeparator" w:id="0">
    <w:p w:rsidR="0054526F" w:rsidRDefault="0054526F" w:rsidP="00B1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26F" w:rsidRDefault="0054526F" w:rsidP="00B13C41">
      <w:pPr>
        <w:spacing w:after="0" w:line="240" w:lineRule="auto"/>
      </w:pPr>
      <w:r>
        <w:separator/>
      </w:r>
    </w:p>
  </w:footnote>
  <w:footnote w:type="continuationSeparator" w:id="0">
    <w:p w:rsidR="0054526F" w:rsidRDefault="0054526F" w:rsidP="00B13C41">
      <w:pPr>
        <w:spacing w:after="0" w:line="240" w:lineRule="auto"/>
      </w:pPr>
      <w:r>
        <w:continuationSeparator/>
      </w:r>
    </w:p>
  </w:footnote>
  <w:footnote w:id="1">
    <w:p w:rsidR="003B6101" w:rsidRDefault="003B6101">
      <w:pPr>
        <w:pStyle w:val="Tekstprzypisudolnego"/>
      </w:pPr>
      <w:r>
        <w:rPr>
          <w:rStyle w:val="Odwoanieprzypisudolnego"/>
        </w:rPr>
        <w:footnoteRef/>
      </w:r>
      <w:r>
        <w:t xml:space="preserve"> Tabelę należy wypełnić odrębnie dla każdego Działania/Poddziałania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42"/>
      <w:gridCol w:w="3242"/>
      <w:gridCol w:w="2480"/>
      <w:gridCol w:w="3239"/>
    </w:tblGrid>
    <w:tr w:rsidR="00822DB2" w:rsidRPr="00822DB2" w:rsidTr="00822DB2">
      <w:trPr>
        <w:trHeight w:val="960"/>
        <w:jc w:val="center"/>
      </w:trPr>
      <w:tc>
        <w:tcPr>
          <w:tcW w:w="1036" w:type="pct"/>
          <w:tcMar>
            <w:left w:w="0" w:type="dxa"/>
            <w:right w:w="0" w:type="dxa"/>
          </w:tcMar>
        </w:tcPr>
        <w:p w:rsidR="00822DB2" w:rsidRPr="00822DB2" w:rsidRDefault="00822DB2" w:rsidP="00822DB2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16C61D4" wp14:editId="25F1BF16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4" w:type="pct"/>
          <w:tcMar>
            <w:left w:w="0" w:type="dxa"/>
            <w:right w:w="0" w:type="dxa"/>
          </w:tcMar>
        </w:tcPr>
        <w:p w:rsidR="00822DB2" w:rsidRPr="00822DB2" w:rsidRDefault="00822DB2" w:rsidP="00822DB2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63C63E4" wp14:editId="15D104D0">
                <wp:extent cx="1419225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7" w:type="pct"/>
          <w:tcMar>
            <w:left w:w="0" w:type="dxa"/>
            <w:right w:w="0" w:type="dxa"/>
          </w:tcMar>
        </w:tcPr>
        <w:p w:rsidR="00822DB2" w:rsidRPr="00822DB2" w:rsidRDefault="00822DB2" w:rsidP="00822DB2">
          <w:pPr>
            <w:ind w:left="-2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EB25105" wp14:editId="69DADBCB">
                <wp:extent cx="962025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3" w:type="pct"/>
          <w:tcMar>
            <w:left w:w="0" w:type="dxa"/>
            <w:right w:w="0" w:type="dxa"/>
          </w:tcMar>
        </w:tcPr>
        <w:p w:rsidR="00822DB2" w:rsidRPr="00822DB2" w:rsidRDefault="00822DB2" w:rsidP="00822DB2">
          <w:pPr>
            <w:ind w:right="-1"/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C2EF6AE" wp14:editId="00BA3553">
                <wp:extent cx="154305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8722E" w:rsidRDefault="00A8722E" w:rsidP="00154C7D">
    <w:pPr>
      <w:pStyle w:val="Nagwek"/>
      <w:jc w:val="right"/>
      <w:rPr>
        <w:b/>
      </w:rPr>
    </w:pPr>
  </w:p>
  <w:p w:rsidR="00154C7D" w:rsidRPr="004C054D" w:rsidRDefault="00154C7D" w:rsidP="00154C7D">
    <w:pPr>
      <w:pStyle w:val="Nagwek"/>
      <w:jc w:val="right"/>
      <w:rPr>
        <w:b/>
      </w:rPr>
    </w:pPr>
    <w:r w:rsidRPr="004C054D">
      <w:rPr>
        <w:b/>
      </w:rPr>
      <w:t>Załącznik</w:t>
    </w:r>
    <w:r w:rsidR="00954AFE">
      <w:rPr>
        <w:b/>
      </w:rPr>
      <w:t xml:space="preserve"> nr IR.II</w:t>
    </w:r>
    <w:r w:rsidR="004508BE">
      <w:rPr>
        <w:b/>
      </w:rPr>
      <w:t>.1</w:t>
    </w:r>
    <w:r w:rsidRPr="004C054D">
      <w:rPr>
        <w:b/>
      </w:rPr>
      <w:t xml:space="preserve"> do IW</w:t>
    </w:r>
    <w:r>
      <w:rPr>
        <w:b/>
      </w:rPr>
      <w:t xml:space="preserve"> IZ</w:t>
    </w:r>
    <w:r w:rsidRPr="004C054D">
      <w:rPr>
        <w:b/>
      </w:rPr>
      <w:t xml:space="preserve"> RPOWŚ </w:t>
    </w:r>
  </w:p>
  <w:p w:rsidR="00154C7D" w:rsidRDefault="00154C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77F93"/>
    <w:multiLevelType w:val="hybridMultilevel"/>
    <w:tmpl w:val="BBB49680"/>
    <w:lvl w:ilvl="0" w:tplc="2FE485F6">
      <w:start w:val="1"/>
      <w:numFmt w:val="lowerLetter"/>
      <w:lvlText w:val="%1)"/>
      <w:lvlJc w:val="left"/>
      <w:pPr>
        <w:ind w:left="751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79B7F54"/>
    <w:multiLevelType w:val="hybridMultilevel"/>
    <w:tmpl w:val="97006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3E8C"/>
    <w:multiLevelType w:val="hybridMultilevel"/>
    <w:tmpl w:val="37203276"/>
    <w:lvl w:ilvl="0" w:tplc="3AA2AA8C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51E0"/>
    <w:multiLevelType w:val="hybridMultilevel"/>
    <w:tmpl w:val="E5826574"/>
    <w:lvl w:ilvl="0" w:tplc="2EC000FA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1062335E"/>
    <w:multiLevelType w:val="hybridMultilevel"/>
    <w:tmpl w:val="9F10A714"/>
    <w:lvl w:ilvl="0" w:tplc="BA3E6BBA">
      <w:start w:val="1"/>
      <w:numFmt w:val="bullet"/>
      <w:pStyle w:val="Nagwek4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D1D21"/>
    <w:multiLevelType w:val="hybridMultilevel"/>
    <w:tmpl w:val="84646A3C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17C8B"/>
    <w:multiLevelType w:val="hybridMultilevel"/>
    <w:tmpl w:val="7CDA3FD2"/>
    <w:lvl w:ilvl="0" w:tplc="039A82A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5FA3CFC"/>
    <w:multiLevelType w:val="hybridMultilevel"/>
    <w:tmpl w:val="B32880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87FAF"/>
    <w:multiLevelType w:val="hybridMultilevel"/>
    <w:tmpl w:val="670E080C"/>
    <w:lvl w:ilvl="0" w:tplc="039A82A2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B2A44E3"/>
    <w:multiLevelType w:val="hybridMultilevel"/>
    <w:tmpl w:val="06CC04BA"/>
    <w:lvl w:ilvl="0" w:tplc="A5CE3DE8">
      <w:start w:val="2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762"/>
    <w:multiLevelType w:val="hybridMultilevel"/>
    <w:tmpl w:val="AE3A7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22844"/>
    <w:multiLevelType w:val="hybridMultilevel"/>
    <w:tmpl w:val="0194F530"/>
    <w:lvl w:ilvl="0" w:tplc="BF74427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830A5"/>
    <w:multiLevelType w:val="hybridMultilevel"/>
    <w:tmpl w:val="5CEE9A38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1DDE"/>
    <w:multiLevelType w:val="multilevel"/>
    <w:tmpl w:val="11789896"/>
    <w:lvl w:ilvl="0">
      <w:start w:val="1"/>
      <w:numFmt w:val="decimal"/>
      <w:pStyle w:val="Nagwek1"/>
      <w:suff w:val="space"/>
      <w:lvlText w:val="Rozdział %1"/>
      <w:lvlJc w:val="left"/>
      <w:pPr>
        <w:ind w:left="1135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hAnsiTheme="minorHAnsi" w:hint="default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3EA61B6"/>
    <w:multiLevelType w:val="hybridMultilevel"/>
    <w:tmpl w:val="948E937A"/>
    <w:lvl w:ilvl="0" w:tplc="039A82A2">
      <w:start w:val="1"/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363D7321"/>
    <w:multiLevelType w:val="hybridMultilevel"/>
    <w:tmpl w:val="1E0AEA52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6" w15:restartNumberingAfterBreak="0">
    <w:nsid w:val="424634E7"/>
    <w:multiLevelType w:val="hybridMultilevel"/>
    <w:tmpl w:val="6D0E0DF2"/>
    <w:lvl w:ilvl="0" w:tplc="82184730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449FE"/>
    <w:multiLevelType w:val="hybridMultilevel"/>
    <w:tmpl w:val="8F3EA6F8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B68A4"/>
    <w:multiLevelType w:val="hybridMultilevel"/>
    <w:tmpl w:val="45AA1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C2C55"/>
    <w:multiLevelType w:val="hybridMultilevel"/>
    <w:tmpl w:val="0E5C4618"/>
    <w:lvl w:ilvl="0" w:tplc="039A82A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F8324B0"/>
    <w:multiLevelType w:val="hybridMultilevel"/>
    <w:tmpl w:val="FB5A645E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CFB83DF0">
      <w:start w:val="1"/>
      <w:numFmt w:val="lowerLetter"/>
      <w:lvlText w:val="%2)"/>
      <w:lvlJc w:val="left"/>
      <w:pPr>
        <w:ind w:left="785" w:hanging="360"/>
      </w:pPr>
      <w:rPr>
        <w:rFonts w:ascii="Calibri" w:hAnsi="Calibri" w:hint="default"/>
        <w:i w:val="0"/>
        <w:sz w:val="20"/>
        <w:szCs w:val="2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92E3D"/>
    <w:multiLevelType w:val="hybridMultilevel"/>
    <w:tmpl w:val="A0823168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72120"/>
    <w:multiLevelType w:val="hybridMultilevel"/>
    <w:tmpl w:val="1F681BE2"/>
    <w:lvl w:ilvl="0" w:tplc="BA06E9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2415489"/>
    <w:multiLevelType w:val="hybridMultilevel"/>
    <w:tmpl w:val="C0BA182A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33904"/>
    <w:multiLevelType w:val="hybridMultilevel"/>
    <w:tmpl w:val="F9E0877A"/>
    <w:lvl w:ilvl="0" w:tplc="EECA4A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C0BAB"/>
    <w:multiLevelType w:val="hybridMultilevel"/>
    <w:tmpl w:val="AD181394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626A5"/>
    <w:multiLevelType w:val="hybridMultilevel"/>
    <w:tmpl w:val="96D29FBE"/>
    <w:lvl w:ilvl="0" w:tplc="2D3824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618B"/>
    <w:multiLevelType w:val="hybridMultilevel"/>
    <w:tmpl w:val="944A770A"/>
    <w:lvl w:ilvl="0" w:tplc="9F3EB510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12034"/>
    <w:multiLevelType w:val="hybridMultilevel"/>
    <w:tmpl w:val="276A6112"/>
    <w:lvl w:ilvl="0" w:tplc="4AAAC0A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06E1F"/>
    <w:multiLevelType w:val="hybridMultilevel"/>
    <w:tmpl w:val="F5EAA8C6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F4AFF"/>
    <w:multiLevelType w:val="hybridMultilevel"/>
    <w:tmpl w:val="E56A96D4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190705"/>
    <w:multiLevelType w:val="hybridMultilevel"/>
    <w:tmpl w:val="EBD00A44"/>
    <w:lvl w:ilvl="0" w:tplc="039A82A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20"/>
  </w:num>
  <w:num w:numId="4">
    <w:abstractNumId w:val="5"/>
  </w:num>
  <w:num w:numId="5">
    <w:abstractNumId w:val="17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1"/>
  </w:num>
  <w:num w:numId="13">
    <w:abstractNumId w:val="19"/>
  </w:num>
  <w:num w:numId="14">
    <w:abstractNumId w:val="6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0"/>
  </w:num>
  <w:num w:numId="18">
    <w:abstractNumId w:val="12"/>
  </w:num>
  <w:num w:numId="19">
    <w:abstractNumId w:val="29"/>
  </w:num>
  <w:num w:numId="20">
    <w:abstractNumId w:val="23"/>
  </w:num>
  <w:num w:numId="21">
    <w:abstractNumId w:val="8"/>
  </w:num>
  <w:num w:numId="22">
    <w:abstractNumId w:val="4"/>
  </w:num>
  <w:num w:numId="23">
    <w:abstractNumId w:val="10"/>
  </w:num>
  <w:num w:numId="24">
    <w:abstractNumId w:val="14"/>
  </w:num>
  <w:num w:numId="25">
    <w:abstractNumId w:val="7"/>
  </w:num>
  <w:num w:numId="26">
    <w:abstractNumId w:val="22"/>
  </w:num>
  <w:num w:numId="27">
    <w:abstractNumId w:val="15"/>
  </w:num>
  <w:num w:numId="28">
    <w:abstractNumId w:val="1"/>
  </w:num>
  <w:num w:numId="29">
    <w:abstractNumId w:val="21"/>
  </w:num>
  <w:num w:numId="30">
    <w:abstractNumId w:val="18"/>
  </w:num>
  <w:num w:numId="31">
    <w:abstractNumId w:val="9"/>
  </w:num>
  <w:num w:numId="32">
    <w:abstractNumId w:val="3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C41"/>
    <w:rsid w:val="00057F2A"/>
    <w:rsid w:val="000B1D8D"/>
    <w:rsid w:val="00154C7D"/>
    <w:rsid w:val="0022304B"/>
    <w:rsid w:val="002B095D"/>
    <w:rsid w:val="003B6101"/>
    <w:rsid w:val="0043276E"/>
    <w:rsid w:val="004508BE"/>
    <w:rsid w:val="004546B5"/>
    <w:rsid w:val="0049313D"/>
    <w:rsid w:val="0054526F"/>
    <w:rsid w:val="00681C67"/>
    <w:rsid w:val="006A5E06"/>
    <w:rsid w:val="00724347"/>
    <w:rsid w:val="0073045F"/>
    <w:rsid w:val="00773DC9"/>
    <w:rsid w:val="00775597"/>
    <w:rsid w:val="00822DB2"/>
    <w:rsid w:val="00830E52"/>
    <w:rsid w:val="0087696A"/>
    <w:rsid w:val="00887F86"/>
    <w:rsid w:val="00954AFE"/>
    <w:rsid w:val="00A8722E"/>
    <w:rsid w:val="00B13C41"/>
    <w:rsid w:val="00C46B56"/>
    <w:rsid w:val="00C825C9"/>
    <w:rsid w:val="00CF075E"/>
    <w:rsid w:val="00D24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62B15-05F8-427C-8A7A-415F7ED8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C4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559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B13C41"/>
    <w:pPr>
      <w:keepNext/>
      <w:numPr>
        <w:numId w:val="22"/>
      </w:numPr>
      <w:spacing w:before="240" w:after="60" w:line="240" w:lineRule="auto"/>
      <w:outlineLvl w:val="3"/>
    </w:pPr>
    <w:rPr>
      <w:rFonts w:eastAsia="Times New Roman"/>
      <w:b/>
      <w:bCs/>
      <w:color w:val="00206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5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B13C41"/>
    <w:rPr>
      <w:rFonts w:ascii="Calibri" w:eastAsia="Times New Roman" w:hAnsi="Calibri" w:cs="Times New Roman"/>
      <w:b/>
      <w:bCs/>
      <w:color w:val="002060"/>
      <w:szCs w:val="28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B13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13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13C41"/>
    <w:rPr>
      <w:vertAlign w:val="superscript"/>
    </w:rPr>
  </w:style>
  <w:style w:type="character" w:customStyle="1" w:styleId="st">
    <w:name w:val="st"/>
    <w:rsid w:val="00B13C41"/>
  </w:style>
  <w:style w:type="character" w:styleId="Hipercze">
    <w:name w:val="Hyperlink"/>
    <w:uiPriority w:val="99"/>
    <w:unhideWhenUsed/>
    <w:rsid w:val="00773DC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3276E"/>
    <w:pPr>
      <w:tabs>
        <w:tab w:val="left" w:pos="660"/>
        <w:tab w:val="right" w:leader="dot" w:pos="9062"/>
      </w:tabs>
      <w:spacing w:after="0" w:line="360" w:lineRule="auto"/>
      <w:jc w:val="both"/>
    </w:pPr>
    <w:rPr>
      <w:rFonts w:asciiTheme="minorHAnsi" w:eastAsia="Times New Roman" w:hAnsiTheme="minorHAnsi"/>
      <w:b/>
      <w:noProof/>
      <w:szCs w:val="24"/>
      <w:lang w:eastAsia="pl-PL"/>
    </w:rPr>
  </w:style>
  <w:style w:type="paragraph" w:customStyle="1" w:styleId="Default">
    <w:name w:val="Default"/>
    <w:rsid w:val="00681C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95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4C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C672-AC10-4694-A165-27A95284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Smolich, Edyta</dc:creator>
  <cp:lastModifiedBy>Chmielewska-Biskup, Iwona</cp:lastModifiedBy>
  <cp:revision>9</cp:revision>
  <cp:lastPrinted>2017-10-16T07:53:00Z</cp:lastPrinted>
  <dcterms:created xsi:type="dcterms:W3CDTF">2017-10-17T07:39:00Z</dcterms:created>
  <dcterms:modified xsi:type="dcterms:W3CDTF">2019-05-08T06:41:00Z</dcterms:modified>
</cp:coreProperties>
</file>