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185" w14:textId="77777777" w:rsidR="00252813" w:rsidRPr="00252813" w:rsidRDefault="00532244" w:rsidP="0025281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25281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Sprawozdanie z przebiegu konsultacji </w:t>
      </w:r>
    </w:p>
    <w:p w14:paraId="3E112A11" w14:textId="77777777" w:rsidR="00532244" w:rsidRPr="00252813" w:rsidRDefault="00532244" w:rsidP="0025281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25281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projektu programu pn. „</w:t>
      </w:r>
      <w:r w:rsidR="00252813" w:rsidRPr="0025281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REGIONALNY </w:t>
      </w:r>
      <w:r w:rsidRPr="0025281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PROGRAM ROZWOJU EKONOMII SPOŁECZNEJ</w:t>
      </w:r>
      <w:r w:rsidR="00252813" w:rsidRPr="0025281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W WOJEWÓDZTWIE ŚWIĘTOKRZYSKIM DO 2030 ROKU</w:t>
      </w:r>
      <w:r w:rsidRPr="0025281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”</w:t>
      </w:r>
    </w:p>
    <w:p w14:paraId="3387A458" w14:textId="77777777" w:rsidR="00796CC0" w:rsidRDefault="00796CC0" w:rsidP="00796CC0">
      <w:pPr>
        <w:pStyle w:val="Default"/>
      </w:pPr>
    </w:p>
    <w:p w14:paraId="75B89975" w14:textId="77777777" w:rsidR="00796CC0" w:rsidRPr="00457617" w:rsidRDefault="00796CC0" w:rsidP="00101277">
      <w:pPr>
        <w:pStyle w:val="Default"/>
        <w:spacing w:line="276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457617">
        <w:rPr>
          <w:rFonts w:asciiTheme="minorHAnsi" w:hAnsiTheme="minorHAnsi" w:cstheme="minorHAnsi"/>
        </w:rPr>
        <w:t xml:space="preserve">Zgodnie z art. 6 ust. 6 </w:t>
      </w:r>
      <w:r w:rsidR="002E57ED" w:rsidRPr="002E57ED">
        <w:rPr>
          <w:rFonts w:asciiTheme="minorHAnsi" w:hAnsiTheme="minorHAnsi" w:cstheme="minorHAnsi"/>
          <w:i/>
          <w:iCs/>
        </w:rPr>
        <w:t>U</w:t>
      </w:r>
      <w:r w:rsidRPr="002E57ED">
        <w:rPr>
          <w:rFonts w:asciiTheme="minorHAnsi" w:hAnsiTheme="minorHAnsi" w:cstheme="minorHAnsi"/>
          <w:i/>
          <w:iCs/>
        </w:rPr>
        <w:t xml:space="preserve">stawy z dnia 6 grudnia 2006 r. o zasadach prowadzenia polityki rozwoju </w:t>
      </w:r>
      <w:r w:rsidR="00457617" w:rsidRPr="00457617">
        <w:rPr>
          <w:rFonts w:asciiTheme="minorHAnsi" w:eastAsia="Times New Roman" w:hAnsiTheme="minorHAnsi" w:cstheme="minorHAnsi"/>
          <w:lang w:eastAsia="pl-PL"/>
        </w:rPr>
        <w:t>(Dz. U. z 2023 r., poz. 225)</w:t>
      </w:r>
      <w:r w:rsidR="00457617">
        <w:rPr>
          <w:rFonts w:eastAsia="Times New Roman" w:cstheme="minorHAnsi"/>
          <w:lang w:eastAsia="pl-PL"/>
        </w:rPr>
        <w:t xml:space="preserve"> </w:t>
      </w:r>
      <w:r w:rsidRPr="00457617">
        <w:rPr>
          <w:rFonts w:asciiTheme="minorHAnsi" w:hAnsiTheme="minorHAnsi" w:cstheme="minorHAnsi"/>
        </w:rPr>
        <w:t>w terminie do 30 dni od upływu terminu zakończenia konsultacji</w:t>
      </w:r>
      <w:r w:rsidR="00457617">
        <w:rPr>
          <w:rFonts w:asciiTheme="minorHAnsi" w:hAnsiTheme="minorHAnsi" w:cstheme="minorHAnsi"/>
        </w:rPr>
        <w:t xml:space="preserve"> podmiot opracowujący projekt przygotowuje </w:t>
      </w:r>
      <w:r w:rsidRPr="00457617">
        <w:rPr>
          <w:rFonts w:asciiTheme="minorHAnsi" w:hAnsiTheme="minorHAnsi" w:cstheme="minorHAnsi"/>
        </w:rPr>
        <w:t xml:space="preserve">sprawozdanie </w:t>
      </w:r>
      <w:r w:rsidR="00C01EBB">
        <w:rPr>
          <w:rFonts w:asciiTheme="minorHAnsi" w:hAnsiTheme="minorHAnsi" w:cstheme="minorHAnsi"/>
        </w:rPr>
        <w:br/>
      </w:r>
      <w:r w:rsidRPr="00457617">
        <w:rPr>
          <w:rFonts w:asciiTheme="minorHAnsi" w:hAnsiTheme="minorHAnsi" w:cstheme="minorHAnsi"/>
        </w:rPr>
        <w:t>z przebiegu i wyników konsultacji</w:t>
      </w:r>
      <w:r w:rsidR="00457617">
        <w:rPr>
          <w:rFonts w:asciiTheme="minorHAnsi" w:hAnsiTheme="minorHAnsi" w:cstheme="minorHAnsi"/>
        </w:rPr>
        <w:t xml:space="preserve">, </w:t>
      </w:r>
      <w:r w:rsidRPr="00457617">
        <w:rPr>
          <w:rFonts w:asciiTheme="minorHAnsi" w:hAnsiTheme="minorHAnsi" w:cstheme="minorHAnsi"/>
        </w:rPr>
        <w:t>zawierające w szczególności ustosunkowanie się do zgłoszonych uwag wraz z uzasadnieniem</w:t>
      </w:r>
      <w:r w:rsidR="00457617">
        <w:rPr>
          <w:rFonts w:asciiTheme="minorHAnsi" w:hAnsiTheme="minorHAnsi" w:cstheme="minorHAnsi"/>
        </w:rPr>
        <w:t>,</w:t>
      </w:r>
      <w:r w:rsidR="002E57ED">
        <w:rPr>
          <w:rFonts w:asciiTheme="minorHAnsi" w:hAnsiTheme="minorHAnsi" w:cstheme="minorHAnsi"/>
        </w:rPr>
        <w:t xml:space="preserve"> </w:t>
      </w:r>
      <w:r w:rsidRPr="00457617">
        <w:rPr>
          <w:rFonts w:asciiTheme="minorHAnsi" w:hAnsiTheme="minorHAnsi" w:cstheme="minorHAnsi"/>
        </w:rPr>
        <w:t>i zamieścić je na swojej stronie internetowej.</w:t>
      </w:r>
    </w:p>
    <w:p w14:paraId="45E4275F" w14:textId="15521DB8" w:rsidR="00457617" w:rsidRDefault="00532244" w:rsidP="00101277">
      <w:pPr>
        <w:spacing w:before="100" w:beforeAutospacing="1" w:after="100" w:afterAutospacing="1" w:line="276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Konsultacje </w:t>
      </w: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>projektu programu pn. „</w:t>
      </w:r>
      <w:r w:rsidR="00252813"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Regionalny </w:t>
      </w: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Program Rozwoju </w:t>
      </w:r>
      <w:r w:rsidR="00C01EBB">
        <w:rPr>
          <w:rFonts w:eastAsia="Times New Roman" w:cstheme="minorHAnsi"/>
          <w:kern w:val="0"/>
          <w:sz w:val="24"/>
          <w:szCs w:val="24"/>
          <w:lang w:eastAsia="pl-PL"/>
        </w:rPr>
        <w:t>E</w:t>
      </w: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konomii Społecznej </w:t>
      </w:r>
      <w:r w:rsidR="00252813" w:rsidRPr="00252813">
        <w:rPr>
          <w:rFonts w:eastAsia="Times New Roman" w:cstheme="minorHAnsi"/>
          <w:kern w:val="0"/>
          <w:sz w:val="24"/>
          <w:szCs w:val="24"/>
          <w:lang w:eastAsia="pl-PL"/>
        </w:rPr>
        <w:t>w Województwie Świętokrzyskim do 2030 roku”</w:t>
      </w: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zostały przeprowadzone na mocy Uchwały nr </w:t>
      </w:r>
      <w:r w:rsidR="00252813"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6784/23</w:t>
      </w: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Zarządu Województwa </w:t>
      </w:r>
      <w:r w:rsidR="00252813"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Świętokrzyskiego</w:t>
      </w: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z dnia </w:t>
      </w:r>
      <w:r w:rsidR="00252813"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21 marca 2023</w:t>
      </w: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r.</w:t>
      </w: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457617">
        <w:rPr>
          <w:rFonts w:eastAsia="Times New Roman" w:cstheme="minorHAnsi"/>
          <w:kern w:val="0"/>
          <w:sz w:val="24"/>
          <w:szCs w:val="24"/>
          <w:lang w:eastAsia="pl-PL"/>
        </w:rPr>
        <w:t xml:space="preserve">w  sprawie przyjęcia i skierowania projektu </w:t>
      </w:r>
      <w:r w:rsidR="00457617" w:rsidRPr="002E57ED">
        <w:rPr>
          <w:rFonts w:eastAsia="Times New Roman" w:cstheme="minorHAnsi"/>
          <w:i/>
          <w:iCs/>
          <w:kern w:val="0"/>
          <w:sz w:val="24"/>
          <w:szCs w:val="24"/>
          <w:lang w:eastAsia="pl-PL"/>
        </w:rPr>
        <w:t>Regionalnego Programu Rozwoju Ekonomii Społecznej w Województwie Świętokrzyskim do 2030 roku</w:t>
      </w:r>
      <w:r w:rsidR="00457617">
        <w:rPr>
          <w:rFonts w:eastAsia="Times New Roman" w:cstheme="minorHAnsi"/>
          <w:kern w:val="0"/>
          <w:sz w:val="24"/>
          <w:szCs w:val="24"/>
          <w:lang w:eastAsia="pl-PL"/>
        </w:rPr>
        <w:t xml:space="preserve"> do konsultacji. </w:t>
      </w:r>
      <w:r w:rsidR="00457617" w:rsidRPr="002E57ED">
        <w:rPr>
          <w:rFonts w:eastAsia="Times New Roman" w:cstheme="minorHAnsi"/>
          <w:kern w:val="0"/>
          <w:sz w:val="24"/>
          <w:szCs w:val="24"/>
          <w:lang w:eastAsia="pl-PL"/>
        </w:rPr>
        <w:t>Celem konsultacji</w:t>
      </w:r>
      <w:r w:rsidR="00457617">
        <w:rPr>
          <w:rFonts w:eastAsia="Times New Roman" w:cstheme="minorHAnsi"/>
          <w:kern w:val="0"/>
          <w:sz w:val="24"/>
          <w:szCs w:val="24"/>
          <w:lang w:eastAsia="pl-PL"/>
        </w:rPr>
        <w:t xml:space="preserve"> było zebranie uwag oraz opinii od jednostek samorządu terytorialnego, partnerów społecznych i gospodarczych (w rozumieniu art. 5 pkt 7 </w:t>
      </w:r>
      <w:r w:rsidR="002E57ED">
        <w:rPr>
          <w:rFonts w:eastAsia="Times New Roman" w:cstheme="minorHAnsi"/>
          <w:kern w:val="0"/>
          <w:sz w:val="24"/>
          <w:szCs w:val="24"/>
          <w:lang w:eastAsia="pl-PL"/>
        </w:rPr>
        <w:t xml:space="preserve">cytowanej wyżej </w:t>
      </w:r>
      <w:r w:rsidR="00457617">
        <w:rPr>
          <w:rFonts w:eastAsia="Times New Roman" w:cstheme="minorHAnsi"/>
          <w:kern w:val="0"/>
          <w:sz w:val="24"/>
          <w:szCs w:val="24"/>
          <w:lang w:eastAsia="pl-PL"/>
        </w:rPr>
        <w:t>ustawy</w:t>
      </w:r>
      <w:r w:rsidR="002E57ED">
        <w:rPr>
          <w:rFonts w:eastAsia="Times New Roman" w:cstheme="minorHAnsi"/>
          <w:kern w:val="0"/>
          <w:sz w:val="24"/>
          <w:szCs w:val="24"/>
          <w:lang w:eastAsia="pl-PL"/>
        </w:rPr>
        <w:t xml:space="preserve">). </w:t>
      </w:r>
    </w:p>
    <w:p w14:paraId="6464DCE1" w14:textId="4AF3BCBC" w:rsidR="002E57ED" w:rsidRDefault="00532244" w:rsidP="009B4CC1">
      <w:pPr>
        <w:spacing w:after="0" w:line="276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Zgodnie z zapisami </w:t>
      </w:r>
      <w:r w:rsidRPr="00252813">
        <w:rPr>
          <w:rFonts w:eastAsia="Times New Roman" w:cstheme="minorHAnsi"/>
          <w:i/>
          <w:iCs/>
          <w:kern w:val="0"/>
          <w:sz w:val="24"/>
          <w:szCs w:val="24"/>
          <w:lang w:eastAsia="pl-PL"/>
        </w:rPr>
        <w:t xml:space="preserve">Ustawy </w:t>
      </w:r>
      <w:r w:rsidR="00252813">
        <w:rPr>
          <w:rFonts w:eastAsia="Times New Roman" w:cstheme="minorHAnsi"/>
          <w:i/>
          <w:iCs/>
          <w:kern w:val="0"/>
          <w:sz w:val="24"/>
          <w:szCs w:val="24"/>
          <w:lang w:eastAsia="pl-PL"/>
        </w:rPr>
        <w:t xml:space="preserve">z dnia 6 grudnia 2006 r. </w:t>
      </w:r>
      <w:r w:rsidRPr="00252813">
        <w:rPr>
          <w:rFonts w:eastAsia="Times New Roman" w:cstheme="minorHAnsi"/>
          <w:i/>
          <w:iCs/>
          <w:kern w:val="0"/>
          <w:sz w:val="24"/>
          <w:szCs w:val="24"/>
          <w:lang w:eastAsia="pl-PL"/>
        </w:rPr>
        <w:t>o zasadach prowadzenia polityki rozwoju</w:t>
      </w:r>
      <w:r w:rsidRP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konsultacje </w:t>
      </w:r>
      <w:r w:rsidR="00C01EBB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projektu Programu </w:t>
      </w:r>
      <w:r w:rsidRPr="002E57ED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trwały 35 dni</w:t>
      </w:r>
      <w:r w:rsidR="00252813">
        <w:rPr>
          <w:rFonts w:eastAsia="Times New Roman" w:cstheme="minorHAnsi"/>
          <w:kern w:val="0"/>
          <w:sz w:val="24"/>
          <w:szCs w:val="24"/>
          <w:lang w:eastAsia="pl-PL"/>
        </w:rPr>
        <w:t xml:space="preserve">: </w:t>
      </w:r>
      <w:r w:rsidR="00C01EBB" w:rsidRPr="00C01EBB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tj. od </w:t>
      </w:r>
      <w:r w:rsidR="00252813" w:rsidRPr="00C01EBB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27 marca 2023 </w:t>
      </w:r>
      <w:r w:rsidRPr="00C01EBB">
        <w:rPr>
          <w:rFonts w:eastAsia="Times New Roman" w:cstheme="minorHAnsi"/>
          <w:b/>
          <w:kern w:val="0"/>
          <w:sz w:val="24"/>
          <w:szCs w:val="24"/>
          <w:lang w:eastAsia="pl-PL"/>
        </w:rPr>
        <w:t>r.</w:t>
      </w:r>
      <w:r w:rsidR="00C01EBB" w:rsidRPr="00C01EBB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 30 kwietnia 2023 r.</w:t>
      </w:r>
      <w:r w:rsidR="009B4CC1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 </w:t>
      </w:r>
      <w:r w:rsidR="002E57ED" w:rsidRPr="002E57ED">
        <w:rPr>
          <w:rFonts w:eastAsia="Times New Roman" w:cstheme="minorHAnsi"/>
          <w:kern w:val="0"/>
          <w:sz w:val="24"/>
          <w:szCs w:val="24"/>
          <w:lang w:eastAsia="pl-PL"/>
        </w:rPr>
        <w:t>Celem konsultacji</w:t>
      </w:r>
      <w:r w:rsidR="002E57ED">
        <w:rPr>
          <w:rFonts w:eastAsia="Times New Roman" w:cstheme="minorHAnsi"/>
          <w:kern w:val="0"/>
          <w:sz w:val="24"/>
          <w:szCs w:val="24"/>
          <w:lang w:eastAsia="pl-PL"/>
        </w:rPr>
        <w:t xml:space="preserve"> było zebranie uwag oraz opinii na temat projektu Programu od jednostek samorządu terytorialnego, partnerów społecznych i gospodarczych (w rozumieniu art. 5 pkt 7 cytowanej wyżej ustawy). </w:t>
      </w:r>
    </w:p>
    <w:p w14:paraId="57B0E911" w14:textId="77777777" w:rsidR="00C01EBB" w:rsidRDefault="00C01EBB" w:rsidP="00C01EBB">
      <w:pPr>
        <w:pStyle w:val="ng-scope"/>
        <w:spacing w:before="0" w:beforeAutospacing="0" w:after="0" w:afterAutospacing="0" w:line="276" w:lineRule="auto"/>
        <w:ind w:firstLine="708"/>
        <w:jc w:val="both"/>
        <w:rPr>
          <w:rFonts w:asciiTheme="minorHAnsi" w:hAnsiTheme="minorHAnsi"/>
        </w:rPr>
      </w:pPr>
    </w:p>
    <w:p w14:paraId="38EA1881" w14:textId="77777777" w:rsidR="00C01EBB" w:rsidRPr="00C01EBB" w:rsidRDefault="00C01EBB" w:rsidP="00101277">
      <w:pPr>
        <w:pStyle w:val="ng-scope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r w:rsidRPr="00C01EBB">
        <w:rPr>
          <w:rFonts w:asciiTheme="minorHAnsi" w:hAnsiTheme="minorHAnsi"/>
          <w:b/>
        </w:rPr>
        <w:t>Informacja o konsultacjach została zamieszczona w:</w:t>
      </w:r>
    </w:p>
    <w:p w14:paraId="07BAD2DA" w14:textId="64F31506" w:rsidR="00C01EBB" w:rsidRDefault="00C01EBB" w:rsidP="0010127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t xml:space="preserve">w Biuletynie Informacji Publicznej Urzędu Marszałkowskiego Województwa Świętokrzyskiego: </w:t>
      </w:r>
      <w:hyperlink r:id="rId7" w:history="1">
        <w:r w:rsidRPr="002E57ED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</w:rPr>
          <w:t>www.bip.sejmik.kielce.pl</w:t>
        </w:r>
      </w:hyperlink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w dziale: Projektowanie aktów </w:t>
      </w:r>
      <w:r w:rsidR="00A744C4">
        <w:rPr>
          <w:rFonts w:eastAsia="Times New Roman" w:cstheme="minorHAnsi"/>
          <w:kern w:val="0"/>
          <w:sz w:val="24"/>
          <w:szCs w:val="24"/>
          <w:lang w:eastAsia="pl-PL"/>
        </w:rPr>
        <w:t>normatywnych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>/Konsultacje społeczne;</w:t>
      </w:r>
    </w:p>
    <w:p w14:paraId="25379B56" w14:textId="77777777" w:rsidR="00C01EBB" w:rsidRPr="002E57ED" w:rsidRDefault="00C01EBB" w:rsidP="0010127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t xml:space="preserve">na stronie internetowej Urzędu Marszałkowskiego Województwa Świętokrzyskiego: </w:t>
      </w:r>
      <w:hyperlink r:id="rId8" w:history="1">
        <w:r w:rsidRPr="002E57ED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</w:rPr>
          <w:t>www.swietokrzyskie.pro</w:t>
        </w:r>
      </w:hyperlink>
      <w:r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  <w:t xml:space="preserve"> </w:t>
      </w:r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t>w zakładce Aktualności;</w:t>
      </w:r>
    </w:p>
    <w:p w14:paraId="614EF72D" w14:textId="77777777" w:rsidR="00C01EBB" w:rsidRPr="00EA7FA7" w:rsidRDefault="00C01EBB" w:rsidP="0010127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t xml:space="preserve">na stronie internetowej Urzędu Marszałkowskiego Województwa Świętokrzyskiego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t xml:space="preserve">w Zakładce Regionalnego Ośrodka Polityki Społecznej: </w:t>
      </w:r>
    </w:p>
    <w:p w14:paraId="2D6D5762" w14:textId="77777777" w:rsidR="00C01EBB" w:rsidRPr="00EA7FA7" w:rsidRDefault="00000000" w:rsidP="00101277">
      <w:pPr>
        <w:pStyle w:val="Akapitzlist"/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hyperlink r:id="rId9" w:history="1">
        <w:r w:rsidR="00C01EBB" w:rsidRPr="00042DCF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</w:rPr>
          <w:t>https://www.swietokrzyskie.pro/category/urzad-marszalkowski/departamenty/regionalny-osrodek-polityki-spolecznej/aktualnosci-regionalnego-osrodka-polityki-spolecznej/strona/2/</w:t>
        </w:r>
      </w:hyperlink>
      <w:r w:rsidR="00C01EBB" w:rsidRPr="00EA7FA7">
        <w:rPr>
          <w:rFonts w:eastAsia="Times New Roman" w:cstheme="minorHAnsi"/>
          <w:kern w:val="0"/>
          <w:sz w:val="24"/>
          <w:szCs w:val="24"/>
          <w:lang w:eastAsia="pl-PL"/>
        </w:rPr>
        <w:t>;</w:t>
      </w:r>
    </w:p>
    <w:p w14:paraId="56BE22DE" w14:textId="77777777" w:rsidR="00C01EBB" w:rsidRDefault="00C01EBB" w:rsidP="0010127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na stronie internetowej Regionalnego Ośrodka Polityki Społecznej, poświęconej koordynacji ekonomii społecznej: </w:t>
      </w:r>
      <w:hyperlink r:id="rId10" w:history="1">
        <w:r w:rsidRPr="00042DCF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</w:rPr>
          <w:t>www.es.umws.pl</w:t>
        </w:r>
      </w:hyperlink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; </w:t>
      </w:r>
    </w:p>
    <w:p w14:paraId="21EA9927" w14:textId="77777777" w:rsidR="009B4CC1" w:rsidRDefault="009B4CC1" w:rsidP="006533D8">
      <w:pPr>
        <w:spacing w:after="0" w:line="276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574C7770" w14:textId="039C6565" w:rsidR="002E57ED" w:rsidRPr="006533D8" w:rsidRDefault="00C01EBB" w:rsidP="006533D8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>Na w/w stronach p</w:t>
      </w:r>
      <w:r w:rsidR="002E57ED" w:rsidRPr="002E57ED">
        <w:rPr>
          <w:rFonts w:eastAsia="Times New Roman" w:cstheme="minorHAnsi"/>
          <w:kern w:val="0"/>
          <w:sz w:val="24"/>
          <w:szCs w:val="24"/>
          <w:lang w:eastAsia="pl-PL"/>
        </w:rPr>
        <w:t xml:space="preserve">rzez cały czas trwania konsultacji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dostępny był </w:t>
      </w:r>
      <w:r w:rsidR="002E57ED" w:rsidRPr="006533D8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projekt</w:t>
      </w:r>
      <w:r w:rsidR="002E57ED" w:rsidRPr="002E57ED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2E57ED" w:rsidRPr="002E57ED">
        <w:rPr>
          <w:rFonts w:eastAsia="Times New Roman" w:cstheme="minorHAnsi"/>
          <w:i/>
          <w:iCs/>
          <w:kern w:val="0"/>
          <w:sz w:val="24"/>
          <w:szCs w:val="24"/>
          <w:lang w:eastAsia="pl-PL"/>
        </w:rPr>
        <w:t>Regionalnego Programu Rozwoju Ekonomii Społecznej w Województwie Świętokrzyskim do 2030 roku</w:t>
      </w:r>
      <w:r w:rsidR="002E57ED" w:rsidRPr="002E57ED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2E57ED" w:rsidRPr="006533D8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wraz z formularzem konsultacji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. </w:t>
      </w:r>
      <w:r w:rsidR="002E57ED" w:rsidRPr="006533D8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</w:p>
    <w:p w14:paraId="2B8EE6E5" w14:textId="77777777" w:rsidR="00C01EBB" w:rsidRDefault="00EA7FA7" w:rsidP="00C01EBB">
      <w:pPr>
        <w:spacing w:after="0" w:line="276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EA7FA7">
        <w:rPr>
          <w:rFonts w:eastAsia="Times New Roman" w:cstheme="minorHAnsi"/>
          <w:kern w:val="0"/>
          <w:sz w:val="24"/>
          <w:szCs w:val="24"/>
          <w:lang w:eastAsia="pl-PL"/>
        </w:rPr>
        <w:lastRenderedPageBreak/>
        <w:t xml:space="preserve">Ponadto </w:t>
      </w:r>
      <w:r w:rsidRPr="00C01EBB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informacja o konsultacjach wraz z projektem Programu </w:t>
      </w:r>
      <w:r w:rsidR="00C01EBB" w:rsidRPr="00C01EBB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(</w:t>
      </w:r>
      <w:r w:rsidR="000A2D95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i</w:t>
      </w:r>
      <w:r w:rsidR="00C01EBB" w:rsidRPr="00C01EBB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linkami do stron) </w:t>
      </w:r>
      <w:r w:rsidRPr="00C01EBB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została przesłana drogą elektroniczną</w:t>
      </w:r>
      <w:r w:rsidRPr="00C01EBB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0A2D95">
        <w:rPr>
          <w:rFonts w:eastAsia="Times New Roman" w:cstheme="minorHAnsi"/>
          <w:b/>
          <w:kern w:val="0"/>
          <w:sz w:val="24"/>
          <w:szCs w:val="24"/>
          <w:lang w:eastAsia="pl-PL"/>
        </w:rPr>
        <w:t>do</w:t>
      </w:r>
      <w:r w:rsidR="00C01EBB" w:rsidRPr="000A2D95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 </w:t>
      </w:r>
      <w:r w:rsidRPr="000A2D95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jednostek samorządu terytorialnego, partnerów społecznych i gospodarczych </w:t>
      </w:r>
      <w:r w:rsidRPr="00C01EBB">
        <w:rPr>
          <w:rFonts w:eastAsia="Times New Roman" w:cstheme="minorHAnsi"/>
          <w:kern w:val="0"/>
          <w:sz w:val="24"/>
          <w:szCs w:val="24"/>
          <w:lang w:eastAsia="pl-PL"/>
        </w:rPr>
        <w:t>(w rozumieniu art. 5 pkt 7 cytowanej wyżej ustawy) z terenu województwa świętokrzyskiego</w:t>
      </w:r>
      <w:r w:rsidR="00C01EBB" w:rsidRPr="00C01EBB">
        <w:rPr>
          <w:rFonts w:eastAsia="Times New Roman" w:cstheme="minorHAnsi"/>
          <w:kern w:val="0"/>
          <w:sz w:val="24"/>
          <w:szCs w:val="24"/>
          <w:lang w:eastAsia="pl-PL"/>
        </w:rPr>
        <w:t xml:space="preserve"> tj. </w:t>
      </w:r>
      <w:r w:rsidR="00C01EBB">
        <w:rPr>
          <w:rFonts w:eastAsia="Times New Roman" w:cstheme="minorHAnsi"/>
          <w:kern w:val="0"/>
          <w:sz w:val="24"/>
          <w:szCs w:val="24"/>
          <w:lang w:eastAsia="pl-PL"/>
        </w:rPr>
        <w:t>do:</w:t>
      </w:r>
    </w:p>
    <w:p w14:paraId="243CA58D" w14:textId="77777777" w:rsidR="00C01EBB" w:rsidRPr="00C01EBB" w:rsidRDefault="00C01EBB" w:rsidP="00C01EB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organizacji</w:t>
      </w: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 xml:space="preserve"> pracodawców i organizacj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i</w:t>
      </w: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 xml:space="preserve"> związkow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ych</w:t>
      </w: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, reprezentatywne w rozumieniu ustawy z dnia 24 lipca 2015 r. o Radzie Dialogu Społecznego i innych instytucjach dialogu społecznego,</w:t>
      </w:r>
    </w:p>
    <w:p w14:paraId="45A7DB34" w14:textId="77777777" w:rsidR="00C01EBB" w:rsidRPr="00C01EBB" w:rsidRDefault="00C01EBB" w:rsidP="00C01EB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izb gospodarcz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ych,</w:t>
      </w:r>
    </w:p>
    <w:p w14:paraId="53913095" w14:textId="77777777" w:rsidR="00C01EBB" w:rsidRPr="00C01EBB" w:rsidRDefault="00C01EBB" w:rsidP="00C01EB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organizacj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i</w:t>
      </w: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 xml:space="preserve"> pozarządow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ych</w:t>
      </w: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0401A40B" w14:textId="77777777" w:rsidR="00C01EBB" w:rsidRPr="000A2D95" w:rsidRDefault="00C01EBB" w:rsidP="00C01EB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podmiot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ów</w:t>
      </w:r>
      <w:r w:rsidRPr="00C01EBB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, o których mowa w art. 7 ust. 1 pkt 1,2 i 4-8 ustawy z dnia 20 lipca 2018 r. – Prawo o szkolnictwie wyższym i nauce m.in. uczelni,</w:t>
      </w:r>
    </w:p>
    <w:p w14:paraId="4DFEDA4A" w14:textId="77777777" w:rsidR="00C01EBB" w:rsidRPr="000A2D95" w:rsidRDefault="000A2D95" w:rsidP="000A2D9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>Rady</w:t>
      </w:r>
      <w:r w:rsidR="00C01EBB" w:rsidRPr="000A2D95">
        <w:rPr>
          <w:rFonts w:eastAsia="Times New Roman" w:cs="Times New Roman"/>
          <w:color w:val="000000"/>
          <w:kern w:val="0"/>
          <w:sz w:val="24"/>
          <w:szCs w:val="24"/>
          <w:lang w:eastAsia="pl-PL"/>
        </w:rPr>
        <w:t xml:space="preserve"> Działalności Pożytku Publicznego.</w:t>
      </w:r>
    </w:p>
    <w:p w14:paraId="45092DBC" w14:textId="77777777" w:rsidR="006533D8" w:rsidRDefault="006533D8" w:rsidP="006533D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0C2C71DF" w14:textId="77777777" w:rsidR="006533D8" w:rsidRPr="006533D8" w:rsidRDefault="00EA7FA7" w:rsidP="000A2D95">
      <w:pPr>
        <w:spacing w:after="0" w:line="276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6533D8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Konsultacje prowadzone były w formie pisemnej</w:t>
      </w:r>
      <w:r w:rsidR="006533D8" w:rsidRPr="006533D8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. </w:t>
      </w:r>
      <w:r w:rsidR="006533D8" w:rsidRPr="006533D8">
        <w:rPr>
          <w:rFonts w:eastAsia="Times New Roman" w:cstheme="minorHAnsi"/>
          <w:kern w:val="0"/>
          <w:sz w:val="24"/>
          <w:szCs w:val="24"/>
          <w:lang w:eastAsia="pl-PL"/>
        </w:rPr>
        <w:t>Uczestnicy konsultacji mieli możliwość (w terminie od 27.03.2023 r. do 30.04.2023 r.) składania uwag w trzech formach:</w:t>
      </w:r>
    </w:p>
    <w:p w14:paraId="2019330F" w14:textId="77777777" w:rsidR="006533D8" w:rsidRPr="006533D8" w:rsidRDefault="006533D8" w:rsidP="000A2D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>osobiście w siedzibie Urzędu Marszałkowskiego Województwa Świętokrzyskiego,</w:t>
      </w:r>
    </w:p>
    <w:p w14:paraId="01C87F06" w14:textId="77777777" w:rsidR="006533D8" w:rsidRPr="006533D8" w:rsidRDefault="006533D8" w:rsidP="000A2D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 xml:space="preserve">drogą elektroniczną na adres: </w:t>
      </w:r>
      <w:hyperlink r:id="rId11" w:history="1">
        <w:r w:rsidRPr="006533D8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</w:rPr>
          <w:t>sek.rops@sejmik.kielce.pl</w:t>
        </w:r>
      </w:hyperlink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>;</w:t>
      </w:r>
    </w:p>
    <w:p w14:paraId="03BDC1FB" w14:textId="77777777" w:rsidR="00532244" w:rsidRPr="006533D8" w:rsidRDefault="006533D8" w:rsidP="000A2D9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</w:pPr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>drogą korespondencyjną na adres Urzędu Marszałkowskiego Województwa Świętokrzyskiego, AL. IX Wieków Kielc 3, 25-516 Kielce.</w:t>
      </w:r>
      <w:r w:rsidRPr="006533D8">
        <w:rPr>
          <w:rFonts w:eastAsia="Times New Roman" w:cstheme="minorHAnsi"/>
          <w:color w:val="FF0000"/>
          <w:kern w:val="0"/>
          <w:sz w:val="24"/>
          <w:szCs w:val="24"/>
          <w:lang w:eastAsia="pl-PL"/>
        </w:rPr>
        <w:t xml:space="preserve">  </w:t>
      </w:r>
    </w:p>
    <w:p w14:paraId="21C76187" w14:textId="77777777" w:rsidR="006533D8" w:rsidRPr="006533D8" w:rsidRDefault="006533D8" w:rsidP="0053224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 xml:space="preserve">Uwagi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dotyczące treści projektu Programu </w:t>
      </w:r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>przyjmowane były wyłącznie na formularzu konsultacji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>.</w:t>
      </w:r>
      <w:r w:rsidRPr="006533D8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</w:p>
    <w:p w14:paraId="78F52A02" w14:textId="77777777" w:rsidR="006533D8" w:rsidRPr="00176D12" w:rsidRDefault="006533D8" w:rsidP="00176D1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176D12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Wyniki konsultacji:</w:t>
      </w:r>
    </w:p>
    <w:p w14:paraId="70598599" w14:textId="77777777" w:rsidR="00532244" w:rsidRPr="00176D12" w:rsidRDefault="006533D8" w:rsidP="00176D12">
      <w:pPr>
        <w:spacing w:after="0" w:line="276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</w:rPr>
      </w:pPr>
      <w:r w:rsidRP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W wyniku przeprowadzonych konsultacji do 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>Regionaln</w:t>
      </w:r>
      <w:r w:rsidRPr="00176D12">
        <w:rPr>
          <w:rFonts w:eastAsia="Times New Roman" w:cstheme="minorHAnsi"/>
          <w:kern w:val="0"/>
          <w:sz w:val="24"/>
          <w:szCs w:val="24"/>
          <w:lang w:eastAsia="pl-PL"/>
        </w:rPr>
        <w:t>ego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 Ośrod</w:t>
      </w:r>
      <w:r w:rsidRPr="00176D12">
        <w:rPr>
          <w:rFonts w:eastAsia="Times New Roman" w:cstheme="minorHAnsi"/>
          <w:kern w:val="0"/>
          <w:sz w:val="24"/>
          <w:szCs w:val="24"/>
          <w:lang w:eastAsia="pl-PL"/>
        </w:rPr>
        <w:t>ka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 Polityki Społecznej w </w:t>
      </w:r>
      <w:r w:rsidRPr="00176D12">
        <w:rPr>
          <w:rFonts w:eastAsia="Times New Roman" w:cstheme="minorHAnsi"/>
          <w:kern w:val="0"/>
          <w:sz w:val="24"/>
          <w:szCs w:val="24"/>
          <w:lang w:eastAsia="pl-PL"/>
        </w:rPr>
        <w:t>Kielcach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252813"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>wpłyn</w:t>
      </w:r>
      <w:r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>ął tylko jeden wypełniony formularz konsultacji</w:t>
      </w:r>
      <w:r w:rsidR="00176D12"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, zawierający 10 </w:t>
      </w:r>
      <w:r w:rsidR="00532244"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uwag 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do projektu </w:t>
      </w:r>
      <w:r w:rsid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programu pn. 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>„</w:t>
      </w:r>
      <w:r w:rsidR="00176D12" w:rsidRPr="00176D12">
        <w:rPr>
          <w:rFonts w:eastAsia="Times New Roman" w:cstheme="minorHAnsi"/>
          <w:kern w:val="0"/>
          <w:sz w:val="24"/>
          <w:szCs w:val="24"/>
          <w:lang w:eastAsia="pl-PL"/>
        </w:rPr>
        <w:t>Regionaln</w:t>
      </w:r>
      <w:r w:rsidR="00101277">
        <w:rPr>
          <w:rFonts w:eastAsia="Times New Roman" w:cstheme="minorHAnsi"/>
          <w:kern w:val="0"/>
          <w:sz w:val="24"/>
          <w:szCs w:val="24"/>
          <w:lang w:eastAsia="pl-PL"/>
        </w:rPr>
        <w:t>y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 Program Rozwoju Ekonomii Społecznej </w:t>
      </w:r>
      <w:r w:rsidR="00101277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="00176D12" w:rsidRPr="00176D12">
        <w:rPr>
          <w:rFonts w:eastAsia="Times New Roman" w:cstheme="minorHAnsi"/>
          <w:kern w:val="0"/>
          <w:sz w:val="24"/>
          <w:szCs w:val="24"/>
          <w:lang w:eastAsia="pl-PL"/>
        </w:rPr>
        <w:t>w Województwie Świętokrzyskim do 2030 roku”</w:t>
      </w:r>
      <w:r w:rsidR="00532244" w:rsidRPr="00176D12">
        <w:rPr>
          <w:rFonts w:eastAsia="Times New Roman" w:cstheme="minorHAnsi"/>
          <w:kern w:val="0"/>
          <w:sz w:val="24"/>
          <w:szCs w:val="24"/>
          <w:lang w:eastAsia="pl-PL"/>
        </w:rPr>
        <w:t>.</w:t>
      </w:r>
      <w:r w:rsidR="00176D12">
        <w:rPr>
          <w:rFonts w:eastAsia="Times New Roman" w:cstheme="minorHAnsi"/>
          <w:kern w:val="0"/>
          <w:sz w:val="24"/>
          <w:szCs w:val="24"/>
          <w:lang w:eastAsia="pl-PL"/>
        </w:rPr>
        <w:t xml:space="preserve"> Został on złożony przez Gminę Sandomierz. </w:t>
      </w:r>
      <w:r w:rsidR="00911C52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</w:p>
    <w:p w14:paraId="35673259" w14:textId="5C7A7014" w:rsidR="009D70AE" w:rsidRDefault="009D70AE" w:rsidP="00101277">
      <w:pPr>
        <w:spacing w:after="0" w:line="276" w:lineRule="auto"/>
        <w:ind w:firstLine="708"/>
        <w:jc w:val="both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Wnoszone uwagi dotyczyły </w:t>
      </w:r>
      <w:r w:rsidR="00176D12"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doprecyzowania </w:t>
      </w:r>
      <w:r w:rsidR="00101277"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lub dodania </w:t>
      </w:r>
      <w:r w:rsidR="00176D12"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zapisów odnoszących się do </w:t>
      </w:r>
      <w:r w:rsidR="00101277"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planowanych działań. </w:t>
      </w:r>
      <w:r w:rsidR="00176D12"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101277">
        <w:rPr>
          <w:rFonts w:eastAsia="Times New Roman" w:cstheme="minorHAnsi"/>
          <w:kern w:val="0"/>
          <w:sz w:val="24"/>
          <w:szCs w:val="24"/>
          <w:lang w:eastAsia="pl-PL"/>
        </w:rPr>
        <w:t xml:space="preserve">W poniższej tabeli wskazano wszystkie uwagi, które wpłynęły w drodze konsultacji. </w:t>
      </w:r>
      <w:r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>Łącznie wpłynęło 1</w:t>
      </w:r>
      <w:r w:rsidR="00176D12"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>0</w:t>
      </w:r>
      <w:r w:rsidR="00101277" w:rsidRPr="00101277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 uwag – żadn</w:t>
      </w:r>
      <w:r w:rsidR="00101277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a nie została </w:t>
      </w:r>
      <w:r w:rsidR="009B4CC1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uwzględniona z podaniem uzasadnienia. </w:t>
      </w:r>
    </w:p>
    <w:p w14:paraId="3E58225B" w14:textId="35921858" w:rsidR="009B4CC1" w:rsidRPr="009B4CC1" w:rsidRDefault="009B4CC1" w:rsidP="00101277">
      <w:pPr>
        <w:spacing w:after="0" w:line="276" w:lineRule="auto"/>
        <w:ind w:firstLine="708"/>
        <w:jc w:val="both"/>
        <w:rPr>
          <w:rFonts w:eastAsia="Times New Roman" w:cstheme="minorHAnsi"/>
          <w:bCs/>
          <w:kern w:val="0"/>
          <w:sz w:val="24"/>
          <w:szCs w:val="24"/>
          <w:lang w:eastAsia="pl-PL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Dodatkowo wpłynęły 2 informacje o pozytywnym zaopiniowaniu projektu </w:t>
      </w:r>
      <w:r w:rsidRPr="009B4CC1">
        <w:rPr>
          <w:rFonts w:eastAsia="Times New Roman" w:cstheme="minorHAnsi"/>
          <w:bCs/>
          <w:i/>
          <w:iCs/>
          <w:kern w:val="0"/>
          <w:sz w:val="24"/>
          <w:szCs w:val="24"/>
          <w:lang w:eastAsia="pl-PL"/>
        </w:rPr>
        <w:t>Regionalnego Programu Rozwoju Ekonomii Społecznej w Województwie Świętokrzyskim do 2030 roku</w:t>
      </w:r>
      <w:r>
        <w:rPr>
          <w:rFonts w:eastAsia="Times New Roman" w:cstheme="minorHAnsi"/>
          <w:bCs/>
          <w:i/>
          <w:iCs/>
          <w:kern w:val="0"/>
          <w:sz w:val="24"/>
          <w:szCs w:val="24"/>
          <w:lang w:eastAsia="pl-PL"/>
        </w:rPr>
        <w:t xml:space="preserve"> </w:t>
      </w:r>
      <w:r w:rsidRPr="009B4CC1">
        <w:rPr>
          <w:rFonts w:eastAsia="Times New Roman" w:cstheme="minorHAnsi"/>
          <w:bCs/>
          <w:kern w:val="0"/>
          <w:sz w:val="24"/>
          <w:szCs w:val="24"/>
          <w:lang w:eastAsia="pl-PL"/>
        </w:rPr>
        <w:t>przez Świętokrzyską Radę Działalności Pożytku Publicznego i Centrum Usług Społecznych w Górnie.</w:t>
      </w:r>
    </w:p>
    <w:p w14:paraId="53034C3C" w14:textId="77777777" w:rsidR="009D70AE" w:rsidRPr="009B4CC1" w:rsidRDefault="009D70AE">
      <w:pPr>
        <w:rPr>
          <w:bCs/>
          <w:i/>
          <w:iCs/>
          <w:color w:val="FF0000"/>
        </w:rPr>
      </w:pPr>
    </w:p>
    <w:p w14:paraId="409073B6" w14:textId="77777777" w:rsidR="00176D12" w:rsidRDefault="00176D12">
      <w:pPr>
        <w:rPr>
          <w:color w:val="FF0000"/>
        </w:rPr>
      </w:pPr>
    </w:p>
    <w:p w14:paraId="00B3E5C3" w14:textId="77777777" w:rsidR="00C01EBB" w:rsidRDefault="00C01EBB">
      <w:pPr>
        <w:rPr>
          <w:color w:val="FF0000"/>
        </w:rPr>
      </w:pPr>
    </w:p>
    <w:p w14:paraId="108218C0" w14:textId="77777777" w:rsidR="00C01EBB" w:rsidRDefault="00C01EBB">
      <w:pPr>
        <w:rPr>
          <w:color w:val="FF0000"/>
        </w:rPr>
      </w:pPr>
    </w:p>
    <w:p w14:paraId="7DEC35EC" w14:textId="77777777" w:rsidR="000A2D95" w:rsidRDefault="000A2D95" w:rsidP="000A2D95">
      <w:pPr>
        <w:spacing w:after="0" w:line="240" w:lineRule="auto"/>
        <w:jc w:val="center"/>
        <w:rPr>
          <w:b/>
          <w:bCs/>
          <w:sz w:val="20"/>
          <w:szCs w:val="20"/>
        </w:rPr>
        <w:sectPr w:rsidR="000A2D95" w:rsidSect="000D75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1984"/>
        <w:gridCol w:w="2771"/>
        <w:gridCol w:w="3247"/>
        <w:gridCol w:w="2106"/>
        <w:gridCol w:w="2971"/>
      </w:tblGrid>
      <w:tr w:rsidR="00911C52" w:rsidRPr="00183778" w14:paraId="7BE87E96" w14:textId="77777777" w:rsidTr="00911C52">
        <w:trPr>
          <w:trHeight w:val="567"/>
        </w:trPr>
        <w:tc>
          <w:tcPr>
            <w:tcW w:w="425" w:type="dxa"/>
            <w:shd w:val="clear" w:color="auto" w:fill="E7E6E6" w:themeFill="background2"/>
            <w:vAlign w:val="center"/>
          </w:tcPr>
          <w:p w14:paraId="69DD9199" w14:textId="77777777" w:rsidR="00911C52" w:rsidRPr="00183778" w:rsidRDefault="00911C52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83778"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77" w:type="dxa"/>
            <w:shd w:val="clear" w:color="auto" w:fill="E7E6E6" w:themeFill="background2"/>
          </w:tcPr>
          <w:p w14:paraId="742785F4" w14:textId="77777777" w:rsidR="00911C52" w:rsidRPr="00183778" w:rsidRDefault="00911C52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83778">
              <w:rPr>
                <w:b/>
                <w:bCs/>
                <w:sz w:val="20"/>
                <w:szCs w:val="20"/>
              </w:rPr>
              <w:t>Zgłaszający uwagi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B4AC6A5" w14:textId="77777777" w:rsidR="00911C52" w:rsidRPr="00183778" w:rsidRDefault="00911C52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83778">
              <w:rPr>
                <w:b/>
                <w:bCs/>
                <w:sz w:val="20"/>
                <w:szCs w:val="20"/>
              </w:rPr>
              <w:t>Rozdział, strona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6EB37C15" w14:textId="77777777" w:rsidR="00911C52" w:rsidRPr="00183778" w:rsidRDefault="00911C52" w:rsidP="000A2D95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3778">
              <w:rPr>
                <w:rFonts w:asciiTheme="minorHAnsi" w:hAnsiTheme="minorHAnsi"/>
                <w:sz w:val="20"/>
                <w:szCs w:val="20"/>
              </w:rPr>
              <w:t>Obecny zapis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76AC3127" w14:textId="77777777" w:rsidR="00911C52" w:rsidRPr="00183778" w:rsidRDefault="00911C52" w:rsidP="000A2D95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</w:pPr>
            <w:r w:rsidRPr="00183778"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  <w:t>Treść uwagi/propozycja zmiany</w:t>
            </w:r>
          </w:p>
        </w:tc>
        <w:tc>
          <w:tcPr>
            <w:tcW w:w="2106" w:type="dxa"/>
            <w:shd w:val="clear" w:color="auto" w:fill="E7E6E6" w:themeFill="background2"/>
          </w:tcPr>
          <w:p w14:paraId="46E6AB5D" w14:textId="77777777" w:rsidR="00911C52" w:rsidRPr="00183778" w:rsidRDefault="00911C52" w:rsidP="000A2D95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1A48F4EA" w14:textId="77777777" w:rsidR="00911C52" w:rsidRPr="00183778" w:rsidRDefault="00911C52" w:rsidP="000A2D95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</w:pPr>
            <w:r w:rsidRPr="00183778"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  <w:t>Status uwagi</w:t>
            </w:r>
          </w:p>
        </w:tc>
      </w:tr>
      <w:tr w:rsidR="00911C52" w:rsidRPr="000A2D95" w14:paraId="74AE0D3F" w14:textId="77777777" w:rsidTr="00911C52">
        <w:trPr>
          <w:trHeight w:val="1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892" w14:textId="77777777" w:rsidR="00911C52" w:rsidRPr="000A2D95" w:rsidRDefault="00911C52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80E" w14:textId="77777777" w:rsidR="00911C52" w:rsidRPr="000A2D95" w:rsidRDefault="00911C52" w:rsidP="00911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1B6" w14:textId="77777777" w:rsidR="00911C52" w:rsidRDefault="00911C52" w:rsidP="0018377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837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pkt 2,</w:t>
            </w:r>
          </w:p>
          <w:p w14:paraId="4A3A17AD" w14:textId="77777777" w:rsidR="00911C52" w:rsidRDefault="00911C52" w:rsidP="0018377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 szczegółowy.I, kierunek interwencji 1</w:t>
            </w:r>
          </w:p>
          <w:p w14:paraId="31AB2968" w14:textId="77777777" w:rsidR="00911C52" w:rsidRDefault="00911C52" w:rsidP="0018377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 xml:space="preserve"> str. 128</w:t>
            </w:r>
          </w:p>
          <w:p w14:paraId="0E60414B" w14:textId="77777777" w:rsidR="00911C52" w:rsidRDefault="00911C52" w:rsidP="0018377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1DB58ACD" w14:textId="77777777" w:rsidR="00911C52" w:rsidRDefault="00911C52" w:rsidP="0018377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589AA8EC" w14:textId="77777777" w:rsidR="00911C52" w:rsidRPr="00183778" w:rsidRDefault="00911C52" w:rsidP="0018377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664" w14:textId="77777777" w:rsidR="00911C52" w:rsidRDefault="00911C52" w:rsidP="00911C52">
            <w:pPr>
              <w:pStyle w:val="Nagwek1"/>
              <w:numPr>
                <w:ilvl w:val="1"/>
                <w:numId w:val="12"/>
              </w:numPr>
              <w:tabs>
                <w:tab w:val="left" w:pos="355"/>
              </w:tabs>
              <w:ind w:left="72" w:hanging="72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Podejmowanie działań na rzecz wspierania lokalnych lider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ó</w:t>
            </w: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w aktywności społecznej</w:t>
            </w:r>
          </w:p>
          <w:p w14:paraId="3C4C504E" w14:textId="77777777" w:rsidR="00911C52" w:rsidRDefault="00911C52" w:rsidP="00911C52">
            <w:pPr>
              <w:pStyle w:val="Nagwek1"/>
              <w:tabs>
                <w:tab w:val="left" w:pos="355"/>
              </w:tabs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6B1A257" w14:textId="77777777" w:rsidR="00911C52" w:rsidRPr="00911C52" w:rsidRDefault="00911C52" w:rsidP="00911C52">
            <w:pPr>
              <w:pStyle w:val="Nagwek1"/>
              <w:tabs>
                <w:tab w:val="left" w:pos="355"/>
              </w:tabs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3EB" w14:textId="77777777" w:rsidR="00911C52" w:rsidRPr="00911C52" w:rsidRDefault="00911C52" w:rsidP="00911C52">
            <w:pPr>
              <w:pStyle w:val="Nagwek2"/>
              <w:numPr>
                <w:ilvl w:val="1"/>
                <w:numId w:val="13"/>
              </w:numPr>
              <w:tabs>
                <w:tab w:val="left" w:pos="419"/>
              </w:tabs>
              <w:ind w:left="0" w:firstLine="0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183778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Podejmowanie działań na rzecz wspierania lokalnych liderów aktywności społecznej </w:t>
            </w:r>
            <w:r w:rsidRPr="00911C52"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  <w:t>(np. w formie dofinansowania udziału w szkoleniach, studiach podyplomowych, konferencjach, itp.)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949" w14:textId="77777777" w:rsidR="00911C52" w:rsidRDefault="00911C52" w:rsidP="00183778">
            <w:pPr>
              <w:pStyle w:val="Nagwek2"/>
              <w:jc w:val="both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Doprecyzowanie zapisu</w:t>
            </w:r>
          </w:p>
          <w:p w14:paraId="5EAD8CBB" w14:textId="77777777" w:rsidR="00911C52" w:rsidRPr="00911C52" w:rsidRDefault="00911C52" w:rsidP="00911C52">
            <w:pPr>
              <w:rPr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BB66" w14:textId="77777777" w:rsidR="00911C52" w:rsidRPr="00680972" w:rsidRDefault="00911C52" w:rsidP="00680972">
            <w:pPr>
              <w:pStyle w:val="Nagwek2"/>
              <w:jc w:val="both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183778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Uwaga nieuwzględniona.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Aktualny zapis jest pojęciem </w:t>
            </w:r>
            <w:r w:rsidR="00526211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szerokim, o dużym stopniu ogólności, który uwzględnia różne możliwości wsparcia. 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Brak uzasadnienia dla propozycji zmiany.</w:t>
            </w:r>
          </w:p>
        </w:tc>
      </w:tr>
      <w:tr w:rsidR="00526211" w:rsidRPr="000A2D95" w14:paraId="58A23545" w14:textId="77777777" w:rsidTr="005262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17E1" w14:textId="77777777" w:rsidR="00526211" w:rsidRPr="000A2D95" w:rsidRDefault="00526211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575" w14:textId="77777777" w:rsidR="00526211" w:rsidRPr="000A2D95" w:rsidRDefault="00526211" w:rsidP="00911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080" w14:textId="77777777" w:rsidR="00526211" w:rsidRDefault="00526211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837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pkt 2,</w:t>
            </w:r>
          </w:p>
          <w:p w14:paraId="77CFE4C6" w14:textId="77777777" w:rsidR="00526211" w:rsidRDefault="00526211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 szczegółowy.I, kierunek interwencji 1</w:t>
            </w:r>
          </w:p>
          <w:p w14:paraId="7D887DCE" w14:textId="77777777" w:rsidR="00526211" w:rsidRDefault="00526211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 xml:space="preserve"> str. 128</w:t>
            </w:r>
          </w:p>
          <w:p w14:paraId="784F4E08" w14:textId="77777777" w:rsidR="00101277" w:rsidRDefault="00101277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15716F09" w14:textId="77777777" w:rsidR="00101277" w:rsidRDefault="00101277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259B6827" w14:textId="77777777" w:rsidR="00526211" w:rsidRDefault="00526211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0FEE48F9" w14:textId="77777777" w:rsidR="009B4CC1" w:rsidRDefault="009B4CC1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6E61CDC7" w14:textId="77777777" w:rsidR="009B4CC1" w:rsidRPr="00183778" w:rsidRDefault="009B4CC1" w:rsidP="008B54A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2C7A" w14:textId="77777777" w:rsidR="00526211" w:rsidRDefault="00526211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Brak</w:t>
            </w:r>
          </w:p>
          <w:p w14:paraId="22570E6D" w14:textId="77777777" w:rsidR="00101277" w:rsidRDefault="00101277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1056A71E" w14:textId="77777777" w:rsidR="006E2CE2" w:rsidRDefault="006E2CE2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487B8A1" w14:textId="77777777" w:rsidR="009B4CC1" w:rsidRDefault="009B4CC1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4A20FD3" w14:textId="77777777" w:rsidR="009B4CC1" w:rsidRPr="00183778" w:rsidRDefault="009B4CC1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D38" w14:textId="77777777" w:rsidR="00526211" w:rsidRPr="006E2CE2" w:rsidRDefault="00526211" w:rsidP="00526211">
            <w:pPr>
              <w:pStyle w:val="Nagwek2"/>
              <w:jc w:val="both"/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</w:pPr>
            <w:r w:rsidRPr="006E2CE2"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  <w:t>1.4 Podejmowanie działań na rzecz wzmacniania lokalnej społeczności poprzez tworzenie (wspierania tworzenia) OSL</w:t>
            </w:r>
            <w:r w:rsidR="00101277"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  <w:t>.</w:t>
            </w:r>
          </w:p>
          <w:p w14:paraId="234480CE" w14:textId="77777777" w:rsidR="006E2CE2" w:rsidRDefault="006E2CE2" w:rsidP="006E2CE2">
            <w:pPr>
              <w:rPr>
                <w:color w:val="0070C0"/>
                <w:lang w:eastAsia="pl-PL"/>
              </w:rPr>
            </w:pPr>
          </w:p>
          <w:p w14:paraId="3914685E" w14:textId="77777777" w:rsidR="009B4CC1" w:rsidRDefault="009B4CC1" w:rsidP="006E2CE2">
            <w:pPr>
              <w:rPr>
                <w:color w:val="0070C0"/>
                <w:lang w:eastAsia="pl-PL"/>
              </w:rPr>
            </w:pPr>
          </w:p>
          <w:p w14:paraId="28DEC6B2" w14:textId="77777777" w:rsidR="009B4CC1" w:rsidRPr="006E2CE2" w:rsidRDefault="009B4CC1" w:rsidP="006E2CE2">
            <w:pPr>
              <w:rPr>
                <w:color w:val="0070C0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21" w14:textId="77777777" w:rsidR="00526211" w:rsidRPr="00183778" w:rsidRDefault="00526211" w:rsidP="00183778">
            <w:pPr>
              <w:pStyle w:val="Nagwek2"/>
              <w:jc w:val="both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Dodanie zapisu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2E3" w14:textId="77777777" w:rsidR="00526211" w:rsidRPr="006E2CE2" w:rsidRDefault="00526211" w:rsidP="00680972">
            <w:pPr>
              <w:pStyle w:val="Nagwek2"/>
              <w:jc w:val="both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183778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nieuwzględniona.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</w:t>
            </w:r>
            <w:r w:rsidR="00101277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Proponowany zapis niezgodny z kierunkiem interwencji. </w:t>
            </w:r>
            <w:r w:rsidR="006E2CE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OSL (organizowanie Społeczności Lokalnej) to jedna z metod pracy socjalnej, znajdującej się w kompetencjach m.in. ośrodków pomocy społecznej. 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Ponadto b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rak uzasadnienia wprowadzenia takiego zapisu.</w:t>
            </w:r>
          </w:p>
        </w:tc>
      </w:tr>
      <w:tr w:rsidR="00526211" w:rsidRPr="000A2D95" w14:paraId="4B236A8C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ADB" w14:textId="77777777" w:rsidR="00526211" w:rsidRPr="000A2D95" w:rsidRDefault="00526211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7E3" w14:textId="77777777" w:rsidR="00526211" w:rsidRPr="000A2D95" w:rsidRDefault="00526211" w:rsidP="00911C5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19F" w14:textId="77777777" w:rsidR="006E2CE2" w:rsidRDefault="006E2CE2" w:rsidP="006E2CE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837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pkt 2,</w:t>
            </w:r>
          </w:p>
          <w:p w14:paraId="351308A7" w14:textId="77777777" w:rsidR="006E2CE2" w:rsidRDefault="006E2CE2" w:rsidP="006E2CE2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 szczegółowy.I, kierunek interwencji 2</w:t>
            </w:r>
          </w:p>
          <w:p w14:paraId="363FCAFB" w14:textId="77777777" w:rsidR="00526211" w:rsidRDefault="00526211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str. 128</w:t>
            </w:r>
          </w:p>
          <w:p w14:paraId="485AD0A1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F029B56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20E0CD6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00F1201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D32AD46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C2E190A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F8380D4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2F229F2" w14:textId="77777777" w:rsidR="00101277" w:rsidRDefault="00101277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F3FF618" w14:textId="77777777" w:rsidR="006E2CE2" w:rsidRDefault="006E2CE2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3D0ADA5" w14:textId="77777777" w:rsidR="006E2CE2" w:rsidRDefault="006E2CE2" w:rsidP="006E2C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7A24BE4" w14:textId="77777777" w:rsidR="006E2CE2" w:rsidRPr="00183778" w:rsidRDefault="006E2CE2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F1A" w14:textId="77777777" w:rsidR="00526211" w:rsidRDefault="00526211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2.3. Organizacja działań edukacyjnych (np. konkursów, questów, gier i innych) w zakresie ekonomii społecznej dla dzieci i młodzieży</w:t>
            </w:r>
          </w:p>
          <w:p w14:paraId="452407E7" w14:textId="77777777" w:rsidR="00101277" w:rsidRDefault="00101277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1250127F" w14:textId="77777777" w:rsidR="00101277" w:rsidRDefault="00101277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4E242FE" w14:textId="77777777" w:rsidR="00101277" w:rsidRDefault="00101277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1730CE3C" w14:textId="77777777" w:rsidR="006E2CE2" w:rsidRPr="00183778" w:rsidRDefault="006E2CE2" w:rsidP="00183778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3F8" w14:textId="77777777" w:rsidR="00526211" w:rsidRDefault="00526211" w:rsidP="00911C52">
            <w:pPr>
              <w:pStyle w:val="Nagwek1"/>
              <w:jc w:val="both"/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</w:pP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2.3. Organizacja działań edukacyjnych (np. konkursów, questów, gier i innych) w zakresie ekonomii społecznej dla dzieci i młodzieży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6E2CE2"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  <w:t>(poprzez ich dofinansowanie)</w:t>
            </w:r>
          </w:p>
          <w:p w14:paraId="1DF34892" w14:textId="77777777" w:rsidR="00101277" w:rsidRDefault="00101277" w:rsidP="00911C52">
            <w:pPr>
              <w:pStyle w:val="Nagwek1"/>
              <w:jc w:val="both"/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</w:pPr>
          </w:p>
          <w:p w14:paraId="1933DCF6" w14:textId="77777777" w:rsidR="00101277" w:rsidRDefault="00101277" w:rsidP="00911C52">
            <w:pPr>
              <w:pStyle w:val="Nagwek1"/>
              <w:jc w:val="both"/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</w:pPr>
          </w:p>
          <w:p w14:paraId="75B08DA0" w14:textId="77777777" w:rsidR="00101277" w:rsidRDefault="00101277" w:rsidP="00911C52">
            <w:pPr>
              <w:pStyle w:val="Nagwek1"/>
              <w:jc w:val="both"/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</w:pPr>
          </w:p>
          <w:p w14:paraId="11361F2D" w14:textId="77777777" w:rsidR="006E2CE2" w:rsidRPr="00183778" w:rsidRDefault="006E2CE2" w:rsidP="00911C52">
            <w:pPr>
              <w:pStyle w:val="Nagwek1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220" w14:textId="77777777" w:rsidR="00526211" w:rsidRPr="00911C52" w:rsidRDefault="006E2CE2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Doprecyzowanie zapisu,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8FA" w14:textId="77777777" w:rsidR="00526211" w:rsidRDefault="00526211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 w:rsidR="006E2CE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W RPRES wskazano, iż realizatorem w/w działań edukacyjnych dla dzieci i młodzieży będzie ROPS we współpracy z innymi podmiotami. </w:t>
            </w:r>
            <w:r w:rsidR="00101277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Działanie nie przewiduje możliwości przekazywania przez ROPS dofinansowania takich działań innym podmiotom.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Brak uzasadnienia dla propozycji zmiany.</w:t>
            </w:r>
          </w:p>
          <w:p w14:paraId="27EE697B" w14:textId="77777777" w:rsidR="006E2CE2" w:rsidRDefault="006E2CE2" w:rsidP="006E2CE2">
            <w:pPr>
              <w:rPr>
                <w:lang w:eastAsia="pl-PL"/>
              </w:rPr>
            </w:pPr>
          </w:p>
          <w:p w14:paraId="00515480" w14:textId="77777777" w:rsidR="006E2CE2" w:rsidRPr="006E2CE2" w:rsidRDefault="006E2CE2" w:rsidP="006E2CE2">
            <w:pPr>
              <w:rPr>
                <w:lang w:eastAsia="pl-PL"/>
              </w:rPr>
            </w:pPr>
          </w:p>
        </w:tc>
      </w:tr>
      <w:tr w:rsidR="00101277" w:rsidRPr="000A2D95" w14:paraId="27358C69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19B" w14:textId="77777777" w:rsidR="00101277" w:rsidRPr="000A2D95" w:rsidRDefault="00101277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9E1" w14:textId="77777777" w:rsidR="00101277" w:rsidRPr="000A2D95" w:rsidRDefault="00101277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D06" w14:textId="77777777" w:rsidR="00101277" w:rsidRDefault="00101277" w:rsidP="00101277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V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837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pkt 2,</w:t>
            </w:r>
          </w:p>
          <w:p w14:paraId="2BA4E251" w14:textId="77777777" w:rsidR="00101277" w:rsidRDefault="00101277" w:rsidP="0010127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 szczegółowy.II, kierunek interwencji 1</w:t>
            </w:r>
          </w:p>
          <w:p w14:paraId="6F8B0DAC" w14:textId="77777777" w:rsidR="00101277" w:rsidRDefault="00101277" w:rsidP="0010127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str. 128</w:t>
            </w:r>
          </w:p>
          <w:p w14:paraId="44986DEE" w14:textId="77777777" w:rsidR="00101277" w:rsidRDefault="00101277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6BE1369" w14:textId="77777777" w:rsidR="00AC7A70" w:rsidRDefault="00AC7A70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FB75B7" w14:textId="77777777" w:rsidR="00AC7A70" w:rsidRPr="000A2D95" w:rsidRDefault="00AC7A70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CDC4" w14:textId="77777777" w:rsidR="00101277" w:rsidRDefault="00101277" w:rsidP="00101277">
            <w:pPr>
              <w:pStyle w:val="Nagwek1"/>
              <w:tabs>
                <w:tab w:val="left" w:pos="355"/>
              </w:tabs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1.3. </w:t>
            </w: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Wspieranie uczestników/pracowników podmiotów reintegracyjnych przygotowujące do podjęcia zatrudnienia</w:t>
            </w:r>
          </w:p>
          <w:p w14:paraId="2DE59B57" w14:textId="77777777" w:rsidR="00AC7A70" w:rsidRPr="00183778" w:rsidRDefault="00AC7A70" w:rsidP="00101277">
            <w:pPr>
              <w:pStyle w:val="Nagwek1"/>
              <w:tabs>
                <w:tab w:val="left" w:pos="355"/>
              </w:tabs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8DA" w14:textId="77777777" w:rsidR="00101277" w:rsidRDefault="00101277" w:rsidP="008B54AD">
            <w:pPr>
              <w:pStyle w:val="Nagwek1"/>
              <w:tabs>
                <w:tab w:val="left" w:pos="355"/>
              </w:tabs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1.3. </w:t>
            </w:r>
            <w:r w:rsidRPr="00183778">
              <w:rPr>
                <w:rFonts w:asciiTheme="minorHAnsi" w:hAnsiTheme="minorHAnsi"/>
                <w:b w:val="0"/>
                <w:sz w:val="20"/>
                <w:szCs w:val="20"/>
              </w:rPr>
              <w:t>Wspieranie uczestników/pracowników podmiotów reintegracyjnych przygotowujące do podjęcia zatrudnienia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101277"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  <w:t>(np. w formie dofinansowania udziału w szkoleniach, studiach podyplomowych, konferencjach, itp.)</w:t>
            </w:r>
          </w:p>
          <w:p w14:paraId="7B7D21A3" w14:textId="77777777" w:rsidR="00AC7A70" w:rsidRPr="00183778" w:rsidRDefault="00AC7A70" w:rsidP="008B54AD">
            <w:pPr>
              <w:pStyle w:val="Nagwek1"/>
              <w:tabs>
                <w:tab w:val="left" w:pos="355"/>
              </w:tabs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061" w14:textId="77777777" w:rsidR="00101277" w:rsidRPr="00911C52" w:rsidRDefault="00101277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Doprecyzowanie zapisu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2DF2" w14:textId="77777777" w:rsidR="00101277" w:rsidRPr="00AC7A70" w:rsidRDefault="00101277" w:rsidP="00AC7A70">
            <w:pPr>
              <w:pStyle w:val="Nagwek2"/>
              <w:jc w:val="both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Aktualny zapis jest pojęciem szerokim, o dużym stopniu ogólności, który uwzględnia różne możliwości wsparcia. </w:t>
            </w:r>
            <w:r w:rsid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Realizatorem tego działania są podmioty reintegracyjne: CIS, KIS, ZAZ i WTZ, realizujące reintegrację społeczno-zawodową dla osób zagrożonych wykluczeniem społecznym. 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Brak uzasadnienia dla propozycji zmiany.</w:t>
            </w:r>
          </w:p>
        </w:tc>
      </w:tr>
      <w:tr w:rsidR="00101277" w:rsidRPr="000A2D95" w14:paraId="4DEC264A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5669" w14:textId="77777777" w:rsidR="00101277" w:rsidRPr="000A2D95" w:rsidRDefault="00101277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1CF" w14:textId="77777777" w:rsidR="00101277" w:rsidRPr="000A2D95" w:rsidRDefault="00101277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FF9" w14:textId="77777777" w:rsidR="00AC7A70" w:rsidRDefault="00AC7A70" w:rsidP="00AC7A7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 </w:t>
            </w:r>
            <w:r w:rsidRPr="001837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pkt 2,</w:t>
            </w:r>
          </w:p>
          <w:p w14:paraId="71F50AFA" w14:textId="77777777" w:rsidR="00AC7A70" w:rsidRDefault="00AC7A70" w:rsidP="00AC7A7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 szczegółowy.II, kierunek interwencji 1 i 2</w:t>
            </w:r>
          </w:p>
          <w:p w14:paraId="60B30983" w14:textId="77777777" w:rsidR="00AC7A70" w:rsidRDefault="00AC7A70" w:rsidP="00AC7A7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83778">
              <w:rPr>
                <w:bCs/>
                <w:sz w:val="20"/>
                <w:szCs w:val="20"/>
              </w:rPr>
              <w:t>str. 128</w:t>
            </w:r>
          </w:p>
          <w:p w14:paraId="4F80C79F" w14:textId="77777777" w:rsidR="00101277" w:rsidRDefault="00101277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A770138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2768EBE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94F0136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6EE6DED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3FBF9EF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B021AF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4092AF1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EC11665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0851F66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E124587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E020BBB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F88F968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4D505BE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B4A0046" w14:textId="77777777" w:rsidR="00583EC9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0F94464" w14:textId="77777777" w:rsidR="00583EC9" w:rsidRPr="000A2D95" w:rsidRDefault="00583EC9" w:rsidP="00AC7A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453" w14:textId="77777777" w:rsidR="00101277" w:rsidRPr="00AC7A70" w:rsidRDefault="00AC7A70" w:rsidP="00355DEF">
            <w:pPr>
              <w:pStyle w:val="Nagwek1"/>
              <w:numPr>
                <w:ilvl w:val="1"/>
                <w:numId w:val="13"/>
              </w:numPr>
              <w:tabs>
                <w:tab w:val="left" w:pos="355"/>
              </w:tabs>
              <w:ind w:left="72" w:hanging="7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C7A70">
              <w:rPr>
                <w:rFonts w:asciiTheme="minorHAnsi" w:hAnsiTheme="minorHAnsi"/>
                <w:b w:val="0"/>
                <w:sz w:val="20"/>
                <w:szCs w:val="20"/>
              </w:rPr>
              <w:t xml:space="preserve">Wspieranie uczestników/pracowników podmiotów reintegracyjnych przygotowujące do podjęcia zatrudnienia. </w:t>
            </w:r>
          </w:p>
          <w:p w14:paraId="1732C69B" w14:textId="77777777" w:rsidR="00AC7A70" w:rsidRDefault="00AC7A70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C7A70">
              <w:rPr>
                <w:rFonts w:asciiTheme="minorHAnsi" w:hAnsiTheme="minorHAnsi"/>
                <w:b w:val="0"/>
                <w:sz w:val="20"/>
                <w:szCs w:val="20"/>
              </w:rPr>
              <w:t>2.3. Wspieranie kadr podmiotów reintegracyjnych</w:t>
            </w:r>
          </w:p>
          <w:p w14:paraId="11F9F078" w14:textId="77777777" w:rsidR="00583EC9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  <w:p w14:paraId="3C8ADBFF" w14:textId="77777777" w:rsidR="00583EC9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3626AC84" w14:textId="77777777" w:rsidR="00583EC9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4B5067E" w14:textId="77777777" w:rsidR="00583EC9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FC6CEA4" w14:textId="77777777" w:rsidR="00583EC9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8F22C43" w14:textId="77777777" w:rsidR="00583EC9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D98F980" w14:textId="77777777" w:rsidR="00583EC9" w:rsidRPr="00AC7A70" w:rsidRDefault="00583EC9" w:rsidP="00AC7A70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ABE" w14:textId="77777777" w:rsidR="00101277" w:rsidRDefault="00AC7A70" w:rsidP="00AC7A70">
            <w:pPr>
              <w:pStyle w:val="Nagwek2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Usuniecie zapisu 2.3</w:t>
            </w:r>
          </w:p>
          <w:p w14:paraId="11AB35FC" w14:textId="77777777" w:rsidR="00583EC9" w:rsidRDefault="00583EC9" w:rsidP="00583EC9">
            <w:pPr>
              <w:rPr>
                <w:lang w:eastAsia="pl-PL"/>
              </w:rPr>
            </w:pPr>
          </w:p>
          <w:p w14:paraId="7042BADE" w14:textId="77777777" w:rsidR="00583EC9" w:rsidRDefault="00583EC9" w:rsidP="00583EC9">
            <w:pPr>
              <w:rPr>
                <w:lang w:eastAsia="pl-PL"/>
              </w:rPr>
            </w:pPr>
          </w:p>
          <w:p w14:paraId="4B07CAF0" w14:textId="77777777" w:rsidR="00583EC9" w:rsidRDefault="00583EC9" w:rsidP="00583EC9">
            <w:pPr>
              <w:rPr>
                <w:lang w:eastAsia="pl-PL"/>
              </w:rPr>
            </w:pPr>
          </w:p>
          <w:p w14:paraId="05012F6F" w14:textId="77777777" w:rsidR="00583EC9" w:rsidRDefault="00583EC9" w:rsidP="00583EC9">
            <w:pPr>
              <w:rPr>
                <w:lang w:eastAsia="pl-PL"/>
              </w:rPr>
            </w:pPr>
          </w:p>
          <w:p w14:paraId="19856B6D" w14:textId="77777777" w:rsidR="00583EC9" w:rsidRDefault="00583EC9" w:rsidP="00583EC9">
            <w:pPr>
              <w:rPr>
                <w:lang w:eastAsia="pl-PL"/>
              </w:rPr>
            </w:pPr>
          </w:p>
          <w:p w14:paraId="2E76ED9F" w14:textId="77777777" w:rsidR="00583EC9" w:rsidRDefault="00583EC9" w:rsidP="00583EC9">
            <w:pPr>
              <w:rPr>
                <w:lang w:eastAsia="pl-PL"/>
              </w:rPr>
            </w:pPr>
          </w:p>
          <w:p w14:paraId="2386A902" w14:textId="77777777" w:rsidR="00583EC9" w:rsidRDefault="00583EC9" w:rsidP="00583EC9">
            <w:pPr>
              <w:rPr>
                <w:lang w:eastAsia="pl-PL"/>
              </w:rPr>
            </w:pPr>
          </w:p>
          <w:p w14:paraId="000E66B5" w14:textId="77777777" w:rsidR="00583EC9" w:rsidRDefault="00583EC9" w:rsidP="00583EC9">
            <w:pPr>
              <w:rPr>
                <w:lang w:eastAsia="pl-PL"/>
              </w:rPr>
            </w:pPr>
          </w:p>
          <w:p w14:paraId="4386CAFA" w14:textId="77777777" w:rsidR="00583EC9" w:rsidRPr="00583EC9" w:rsidRDefault="00583EC9" w:rsidP="00583EC9">
            <w:pPr>
              <w:rPr>
                <w:lang w:eastAsia="pl-PL"/>
              </w:rPr>
            </w:pPr>
          </w:p>
          <w:p w14:paraId="2525AC85" w14:textId="77777777" w:rsidR="00AC7A70" w:rsidRDefault="00AC7A70" w:rsidP="00AC7A70">
            <w:pPr>
              <w:rPr>
                <w:lang w:eastAsia="pl-PL"/>
              </w:rPr>
            </w:pPr>
          </w:p>
          <w:p w14:paraId="3158274F" w14:textId="77777777" w:rsidR="00AC7A70" w:rsidRPr="00AC7A70" w:rsidRDefault="00AC7A70" w:rsidP="00AC7A70">
            <w:pPr>
              <w:rPr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5FF" w14:textId="77777777" w:rsidR="00101277" w:rsidRPr="00911C52" w:rsidRDefault="00AC7A70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Zdublowanie zapisów, zapis 1.3 zawiera w sobie również zapis 2.3.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5861" w14:textId="77777777" w:rsidR="00AC7A70" w:rsidRDefault="00101277" w:rsidP="00AC7A70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 w:rsid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Kierunek interwencji 1 dotyczy 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wspierania uczestników i pracowników podmiotów reintegracyjnych tj. </w:t>
            </w:r>
            <w:r w:rsid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osób, zagrożonych wykluczeniem społecznym, które objęte są reintegracją społeczno-zawodową przez podmioty reintegracyjne tj. CIS, KIS, ZAZ, WTZ. W przypadku CIS, KIS i WTZ m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ó</w:t>
            </w:r>
            <w:r w:rsid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wimy o uczestnikach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(osoby te nie są w stosunku pracy)</w:t>
            </w:r>
            <w:r w:rsid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, natomiast w przypadku ZAZ – 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mówimy </w:t>
            </w:r>
            <w:r w:rsidR="00AC7A70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o pracownikach.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(osoby niepełnosprawne są zatrudnione w ZAZ).</w:t>
            </w:r>
          </w:p>
          <w:p w14:paraId="59593251" w14:textId="77777777" w:rsidR="00101277" w:rsidRPr="00911C52" w:rsidRDefault="00AC7A70" w:rsidP="00583EC9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Kierunek 2.3.dotyczy zaś kadry 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merytorycznej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w/w podmiotów reintegracyjnych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(np. trenerów, rehabilitantów, instruktorów terapii zajęciowej, itp.).</w:t>
            </w:r>
            <w:r w:rsidR="00355DE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Nie ma tu więc  mowy o zdublowaniu zapisów.</w:t>
            </w:r>
          </w:p>
        </w:tc>
      </w:tr>
      <w:tr w:rsidR="00101277" w:rsidRPr="000A2D95" w14:paraId="02EFD321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F0E" w14:textId="77777777" w:rsidR="00101277" w:rsidRPr="000A2D95" w:rsidRDefault="00101277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4AF" w14:textId="77777777" w:rsidR="00101277" w:rsidRPr="000A2D95" w:rsidRDefault="00101277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D4B" w14:textId="77777777" w:rsidR="00101277" w:rsidRDefault="00583EC9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 </w:t>
            </w:r>
            <w:r w:rsidRPr="0018377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pkt 2, </w:t>
            </w:r>
            <w:r w:rsidRPr="00183778">
              <w:rPr>
                <w:bCs/>
                <w:sz w:val="20"/>
                <w:szCs w:val="20"/>
              </w:rPr>
              <w:t xml:space="preserve">str. </w:t>
            </w:r>
            <w:r w:rsidRPr="00583EC9">
              <w:rPr>
                <w:bCs/>
                <w:sz w:val="20"/>
                <w:szCs w:val="20"/>
              </w:rPr>
              <w:t>129</w:t>
            </w:r>
          </w:p>
          <w:p w14:paraId="5641C96A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34D8D92D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7E105BE0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54A199FC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569D2AE4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66835E91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58CFD689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38663B42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44FC259F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183C2C04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57715477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31C25038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068C38E8" w14:textId="77777777" w:rsidR="00680972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4C6FD779" w14:textId="77777777" w:rsidR="00680972" w:rsidRPr="00583EC9" w:rsidRDefault="00680972" w:rsidP="00583E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9D3" w14:textId="77777777" w:rsidR="00101277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83EC9">
              <w:rPr>
                <w:rFonts w:asciiTheme="minorHAnsi" w:hAnsiTheme="minorHAnsi"/>
                <w:b w:val="0"/>
                <w:sz w:val="20"/>
                <w:szCs w:val="20"/>
              </w:rPr>
              <w:t>B</w:t>
            </w:r>
            <w:r w:rsidR="00583EC9" w:rsidRPr="00583EC9">
              <w:rPr>
                <w:rFonts w:asciiTheme="minorHAnsi" w:hAnsiTheme="minorHAnsi"/>
                <w:b w:val="0"/>
                <w:sz w:val="20"/>
                <w:szCs w:val="20"/>
              </w:rPr>
              <w:t>rak</w:t>
            </w:r>
          </w:p>
          <w:p w14:paraId="101380F0" w14:textId="77777777" w:rsidR="00680972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7461F46" w14:textId="77777777" w:rsidR="00680972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382AA117" w14:textId="77777777" w:rsidR="00680972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672AEF8" w14:textId="77777777" w:rsidR="00680972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8AF421B" w14:textId="77777777" w:rsidR="00680972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687A966" w14:textId="77777777" w:rsidR="00680972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D7A929B" w14:textId="77777777" w:rsidR="00680972" w:rsidRPr="00583EC9" w:rsidRDefault="00680972" w:rsidP="00583EC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3B5F" w14:textId="77777777" w:rsidR="00101277" w:rsidRPr="00680972" w:rsidRDefault="00583EC9" w:rsidP="00583EC9">
            <w:pPr>
              <w:pStyle w:val="Nagwek2"/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</w:pPr>
            <w:r w:rsidRPr="00680972"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  <w:t>2.6. Promowanie metody OSL wśród pracowników JST oraz jednostek organizacyjnych (OPS, PCPR).</w:t>
            </w:r>
          </w:p>
          <w:p w14:paraId="278D770B" w14:textId="77777777" w:rsidR="00680972" w:rsidRPr="00680972" w:rsidRDefault="00680972" w:rsidP="00680972">
            <w:pPr>
              <w:rPr>
                <w:color w:val="0070C0"/>
                <w:lang w:eastAsia="pl-PL"/>
              </w:rPr>
            </w:pPr>
          </w:p>
          <w:p w14:paraId="791C9811" w14:textId="77777777" w:rsidR="00680972" w:rsidRDefault="00680972" w:rsidP="00680972">
            <w:pPr>
              <w:rPr>
                <w:lang w:eastAsia="pl-PL"/>
              </w:rPr>
            </w:pPr>
          </w:p>
          <w:p w14:paraId="5902B16C" w14:textId="77777777" w:rsidR="00680972" w:rsidRDefault="00680972" w:rsidP="00680972">
            <w:pPr>
              <w:rPr>
                <w:lang w:eastAsia="pl-PL"/>
              </w:rPr>
            </w:pPr>
          </w:p>
          <w:p w14:paraId="575D4FC7" w14:textId="77777777" w:rsidR="00680972" w:rsidRDefault="00680972" w:rsidP="00680972">
            <w:pPr>
              <w:rPr>
                <w:lang w:eastAsia="pl-PL"/>
              </w:rPr>
            </w:pPr>
          </w:p>
          <w:p w14:paraId="31CA7370" w14:textId="77777777" w:rsidR="00680972" w:rsidRDefault="00680972" w:rsidP="00680972">
            <w:pPr>
              <w:rPr>
                <w:lang w:eastAsia="pl-PL"/>
              </w:rPr>
            </w:pPr>
          </w:p>
          <w:p w14:paraId="3EBB69FA" w14:textId="77777777" w:rsidR="00680972" w:rsidRDefault="00680972" w:rsidP="00680972">
            <w:pPr>
              <w:rPr>
                <w:lang w:eastAsia="pl-PL"/>
              </w:rPr>
            </w:pPr>
          </w:p>
          <w:p w14:paraId="36DD70F1" w14:textId="77777777" w:rsidR="00680972" w:rsidRPr="00680972" w:rsidRDefault="00680972" w:rsidP="00680972">
            <w:pPr>
              <w:rPr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E36" w14:textId="77777777" w:rsidR="00101277" w:rsidRPr="00911C52" w:rsidRDefault="00583EC9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Dodanie zapisu.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A474" w14:textId="77777777" w:rsidR="00101277" w:rsidRPr="00911C52" w:rsidRDefault="00101277" w:rsidP="0068097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 w:rsidR="00583EC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Brak dokładnego oznaczenia 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nie pozwala na ustalenie jakiego kierunku interwencji dotyczy proponowany zapis (czy celu szczegółowego II, kierunek interwencji nr 2 – </w:t>
            </w:r>
            <w:r w:rsidR="00680972" w:rsidRPr="00680972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  <w:lang w:eastAsia="pl-PL"/>
              </w:rPr>
              <w:t>Wzmacnianie podmiotów reintegracyjnych i przedsiębiorstw społecznych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czy też celu szczegółowego III, kierunek interwencji nr 2 – </w:t>
            </w:r>
            <w:r w:rsidR="00680972" w:rsidRPr="00680972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  <w:lang w:eastAsia="pl-PL"/>
              </w:rPr>
              <w:t>Współpraca sektora ekonomii społecznej z biznesem i sektorem nauki).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Ponadto brak uzasadnienia dla dodania proponowanego zapisu.</w:t>
            </w:r>
          </w:p>
        </w:tc>
      </w:tr>
      <w:tr w:rsidR="00101277" w:rsidRPr="000A2D95" w14:paraId="5FAD5E3B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C6C" w14:textId="77777777" w:rsidR="00101277" w:rsidRPr="000A2D95" w:rsidRDefault="00101277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75B" w14:textId="77777777" w:rsidR="00101277" w:rsidRPr="000A2D95" w:rsidRDefault="00101277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305" w14:textId="77777777" w:rsidR="00101277" w:rsidRDefault="00680972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80972">
              <w:rPr>
                <w:bCs/>
                <w:sz w:val="20"/>
                <w:szCs w:val="20"/>
              </w:rPr>
              <w:t>V, cel szczegółowy III, kierunek interwencji nr 1s. 129</w:t>
            </w:r>
          </w:p>
          <w:p w14:paraId="2180E56A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8EDCAE1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58CFC7F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CBF570D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37B4911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BAEE59F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FABD371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DDB3EE3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F086414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FF43666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6D7A685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A1C1062" w14:textId="77777777" w:rsidR="00AB5075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1AD782A" w14:textId="77777777" w:rsidR="00AB5075" w:rsidRPr="00680972" w:rsidRDefault="00AB5075" w:rsidP="0068097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0B2" w14:textId="77777777" w:rsidR="00101277" w:rsidRDefault="00680972" w:rsidP="00680972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80972">
              <w:rPr>
                <w:rFonts w:asciiTheme="minorHAnsi" w:hAnsiTheme="minorHAnsi"/>
                <w:b w:val="0"/>
                <w:sz w:val="20"/>
                <w:szCs w:val="20"/>
              </w:rPr>
              <w:t>1.4. Tworzenie miejsc pracy w podmiotach ekonomii społecznej, w tym w szczególności w przedsiębiorstwach społecznych</w:t>
            </w:r>
          </w:p>
          <w:p w14:paraId="2F0CCAC6" w14:textId="77777777" w:rsidR="00AB5075" w:rsidRDefault="00AB5075" w:rsidP="00680972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18CBCCF2" w14:textId="77777777" w:rsidR="00AB5075" w:rsidRDefault="00AB5075" w:rsidP="00680972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D823089" w14:textId="77777777" w:rsidR="00AB5075" w:rsidRDefault="00AB5075" w:rsidP="00680972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68CE2B1" w14:textId="77777777" w:rsidR="00AB5075" w:rsidRDefault="00AB5075" w:rsidP="00680972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5E181DB" w14:textId="77777777" w:rsidR="00AB5075" w:rsidRPr="00680972" w:rsidRDefault="00AB5075" w:rsidP="00680972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B6D" w14:textId="77777777" w:rsidR="00101277" w:rsidRDefault="00680972" w:rsidP="00680972">
            <w:pPr>
              <w:pStyle w:val="Nagwek2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1.4. </w:t>
            </w:r>
            <w:r w:rsidRPr="00680972"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  <w:t>Dofinansowanie tworzenia</w:t>
            </w:r>
            <w:r w:rsidRP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miejsc pracy w podmiotach ekonomii społecznej, w tym w szczególności w przedsiębiorstwach społecznych.</w:t>
            </w:r>
          </w:p>
          <w:p w14:paraId="5E3AA1E0" w14:textId="77777777" w:rsidR="00680972" w:rsidRDefault="00680972" w:rsidP="00680972">
            <w:pPr>
              <w:rPr>
                <w:lang w:eastAsia="pl-PL"/>
              </w:rPr>
            </w:pPr>
          </w:p>
          <w:p w14:paraId="0A610331" w14:textId="77777777" w:rsidR="00AB5075" w:rsidRDefault="00AB5075" w:rsidP="00680972">
            <w:pPr>
              <w:rPr>
                <w:lang w:eastAsia="pl-PL"/>
              </w:rPr>
            </w:pPr>
          </w:p>
          <w:p w14:paraId="46C42918" w14:textId="77777777" w:rsidR="00AB5075" w:rsidRDefault="00AB5075" w:rsidP="00680972">
            <w:pPr>
              <w:rPr>
                <w:lang w:eastAsia="pl-PL"/>
              </w:rPr>
            </w:pPr>
          </w:p>
          <w:p w14:paraId="6E6963B2" w14:textId="77777777" w:rsidR="00AB5075" w:rsidRDefault="00AB5075" w:rsidP="00680972">
            <w:pPr>
              <w:rPr>
                <w:lang w:eastAsia="pl-PL"/>
              </w:rPr>
            </w:pPr>
          </w:p>
          <w:p w14:paraId="5C2285AB" w14:textId="77777777" w:rsidR="00AB5075" w:rsidRDefault="00AB5075" w:rsidP="00680972">
            <w:pPr>
              <w:rPr>
                <w:lang w:eastAsia="pl-PL"/>
              </w:rPr>
            </w:pPr>
          </w:p>
          <w:p w14:paraId="336EE171" w14:textId="77777777" w:rsidR="00AB5075" w:rsidRPr="00680972" w:rsidRDefault="00AB5075" w:rsidP="00680972">
            <w:pPr>
              <w:rPr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A3E" w14:textId="77777777" w:rsidR="00101277" w:rsidRPr="00911C52" w:rsidRDefault="00680972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Doprecyzowanie zapisu.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D38" w14:textId="77777777" w:rsidR="00680972" w:rsidRPr="00AA18FA" w:rsidRDefault="00101277" w:rsidP="00AA18FA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</w:t>
            </w:r>
            <w:r w:rsidR="00AB5075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Ośrodki Wsparcia Ekonomii Społecznej udzielają wsparcia finansowego na tworzenie miejsc pracy w nowych lub istniejących przedsiębiorstwach społecznych. </w:t>
            </w:r>
            <w:r w:rsidR="00AA18FA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Tworzenie miejsc pracy w PES i przedsiębiorstwach społecznych </w:t>
            </w:r>
            <w:r w:rsidR="00AB5075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oznacza w praktyce sfinansowanie </w:t>
            </w:r>
            <w:r w:rsidR="00AA18FA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utworzenia tego </w:t>
            </w:r>
            <w:r w:rsidR="00AB5075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miejsca pracy przez Ośrod</w:t>
            </w:r>
            <w:r w:rsidR="00AA18FA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ek</w:t>
            </w:r>
            <w:r w:rsidR="00AB5075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Wsparcia Ekonomii Społecznej.  </w:t>
            </w:r>
            <w:r w:rsidR="0068097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Nie ma zatem potrzeby doprecyzowania lub zmiany zapisu. </w:t>
            </w:r>
          </w:p>
          <w:p w14:paraId="14175F3D" w14:textId="77777777" w:rsidR="00680972" w:rsidRPr="00680972" w:rsidRDefault="00680972" w:rsidP="00680972">
            <w:pPr>
              <w:rPr>
                <w:lang w:eastAsia="pl-PL"/>
              </w:rPr>
            </w:pPr>
          </w:p>
        </w:tc>
      </w:tr>
      <w:tr w:rsidR="00AA18FA" w:rsidRPr="000A2D95" w14:paraId="370BB516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AAF" w14:textId="77777777" w:rsidR="00AA18FA" w:rsidRPr="000A2D95" w:rsidRDefault="00AA18FA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89B" w14:textId="77777777" w:rsidR="00AA18FA" w:rsidRPr="000A2D95" w:rsidRDefault="00AA18FA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285" w14:textId="77777777" w:rsidR="00AA18FA" w:rsidRDefault="00AA18FA" w:rsidP="00AA18F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80972">
              <w:rPr>
                <w:bCs/>
                <w:sz w:val="20"/>
                <w:szCs w:val="20"/>
              </w:rPr>
              <w:t>V, cel szczegółow</w:t>
            </w:r>
            <w:r>
              <w:rPr>
                <w:bCs/>
                <w:sz w:val="20"/>
                <w:szCs w:val="20"/>
              </w:rPr>
              <w:t xml:space="preserve">y III, kierunek interwencji nr 2, </w:t>
            </w:r>
            <w:r w:rsidRPr="00680972">
              <w:rPr>
                <w:bCs/>
                <w:sz w:val="20"/>
                <w:szCs w:val="20"/>
              </w:rPr>
              <w:t>s. 129</w:t>
            </w:r>
          </w:p>
          <w:p w14:paraId="285B447C" w14:textId="77777777" w:rsidR="00AA18FA" w:rsidRPr="000A2D95" w:rsidRDefault="00AA18FA" w:rsidP="00AA18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D6A" w14:textId="77777777" w:rsidR="00AA18FA" w:rsidRPr="00AA18FA" w:rsidRDefault="00AA18FA" w:rsidP="00AA18FA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A18FA">
              <w:rPr>
                <w:rFonts w:asciiTheme="minorHAnsi" w:hAnsiTheme="minorHAnsi"/>
                <w:b w:val="0"/>
                <w:sz w:val="20"/>
                <w:szCs w:val="20"/>
              </w:rPr>
              <w:t>2.3. Włączanie przedsiębiorców w rozwój ekonomii społecznej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993" w14:textId="77777777" w:rsidR="00AA18FA" w:rsidRPr="00AA18FA" w:rsidRDefault="00AA18FA" w:rsidP="008B54AD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A18FA">
              <w:rPr>
                <w:rFonts w:asciiTheme="minorHAnsi" w:hAnsiTheme="minorHAnsi"/>
                <w:b w:val="0"/>
                <w:sz w:val="20"/>
                <w:szCs w:val="20"/>
              </w:rPr>
              <w:t>2.3. Włączanie przedsiębiorców w rozwój ekonomii społecznej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AA18FA"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  <w:t>poprzez organizację wyjazdów studyjnych, debat, konferencji w tym zakresie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616" w14:textId="77777777" w:rsidR="00AA18FA" w:rsidRPr="00911C52" w:rsidRDefault="00AA18FA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Doprecyzowanie zapisu.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633C" w14:textId="24ACFF37" w:rsidR="00AA18FA" w:rsidRPr="00911C52" w:rsidRDefault="00AA18FA" w:rsidP="003B4E49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. Aktualny zapis jest pojęciem bardzo szerokim, które uwzględnia różne możliwości wsparcia</w:t>
            </w:r>
            <w:r w:rsidR="003B4E4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, w tym m.in. organizację wizyt studyjnych, debat, konferencji i jeszcze wiele innych.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 Dodanie proponowanego zapisu ograniczałoby i zawężałoby możliwości wsparcia </w:t>
            </w:r>
            <w:r w:rsidR="003B4E4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przedsiębiorców </w:t>
            </w:r>
            <w:r w:rsidRPr="003B4E49">
              <w:rPr>
                <w:rFonts w:asciiTheme="minorHAnsi" w:hAnsiTheme="minorHAnsi"/>
                <w:color w:val="auto"/>
                <w:sz w:val="20"/>
                <w:szCs w:val="20"/>
                <w:lang w:eastAsia="pl-PL"/>
              </w:rPr>
              <w:t>wyłącznie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 do organizacji wizyt studyjnych, debat i konferencji. Byłby to katalog zamknięty</w:t>
            </w:r>
            <w:r w:rsidR="003B4E49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I nie pozwalałby na uwzględnienie możliwości udzielenia innych form wsparcia.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Ponadto brak uzasadnienia dla dodania proponowanego zapisu.</w:t>
            </w:r>
          </w:p>
        </w:tc>
      </w:tr>
      <w:tr w:rsidR="003B4E49" w:rsidRPr="000A2D95" w14:paraId="22BE27F4" w14:textId="77777777" w:rsidTr="00911C5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0FC" w14:textId="77777777" w:rsidR="003B4E49" w:rsidRPr="000A2D95" w:rsidRDefault="003B4E49" w:rsidP="008B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524" w14:textId="77777777" w:rsidR="003B4E49" w:rsidRPr="000A2D95" w:rsidRDefault="003B4E49" w:rsidP="000A2D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A2D95">
              <w:rPr>
                <w:b/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7A4" w14:textId="77777777" w:rsidR="003B4E49" w:rsidRPr="000A2D95" w:rsidRDefault="009003B6" w:rsidP="009003B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V, </w:t>
            </w:r>
            <w:r w:rsidRPr="00680972">
              <w:rPr>
                <w:bCs/>
                <w:sz w:val="20"/>
                <w:szCs w:val="20"/>
              </w:rPr>
              <w:t xml:space="preserve"> cel szczegółow</w:t>
            </w:r>
            <w:r>
              <w:rPr>
                <w:bCs/>
                <w:sz w:val="20"/>
                <w:szCs w:val="20"/>
              </w:rPr>
              <w:t xml:space="preserve">y IV, , kierunek interwencji nr 1, </w:t>
            </w:r>
            <w:r w:rsidRPr="00680972">
              <w:rPr>
                <w:bCs/>
                <w:sz w:val="20"/>
                <w:szCs w:val="20"/>
              </w:rPr>
              <w:t>s. 1</w:t>
            </w: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B5F1" w14:textId="77777777" w:rsidR="003B4E49" w:rsidRPr="003B4E49" w:rsidRDefault="003B4E49" w:rsidP="003B4E4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B4E49">
              <w:rPr>
                <w:rFonts w:asciiTheme="minorHAnsi" w:hAnsiTheme="minorHAnsi"/>
                <w:b w:val="0"/>
                <w:sz w:val="20"/>
                <w:szCs w:val="20"/>
              </w:rPr>
              <w:t xml:space="preserve">1.2. Podnoszenie kompetencji pracowników JST oraz jednostek organizacyjnych (OPS, PCPR, PUP, itp.) w zakresie ekonomii społecznej poprzez m.in. szkolenia, wizyty studyjne, doradztwo,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it</w:t>
            </w:r>
            <w:r w:rsidRPr="003B4E49">
              <w:rPr>
                <w:rFonts w:asciiTheme="minorHAnsi" w:hAnsiTheme="minorHAnsi"/>
                <w:b w:val="0"/>
                <w:sz w:val="20"/>
                <w:szCs w:val="20"/>
              </w:rPr>
              <w:t>p.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D6CF" w14:textId="77777777" w:rsidR="003B4E49" w:rsidRPr="003B4E49" w:rsidRDefault="003B4E49" w:rsidP="003B4E49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B4E49">
              <w:rPr>
                <w:rFonts w:asciiTheme="minorHAnsi" w:hAnsiTheme="minorHAnsi"/>
                <w:b w:val="0"/>
                <w:sz w:val="20"/>
                <w:szCs w:val="20"/>
              </w:rPr>
              <w:t>1.2. Podnoszenie kompetencji pracowników JST oraz jednostek organizacyjnych (OPS, PCPR, PUP, itp.) w zakresie ekonomii społecznej poprzez m.in.</w:t>
            </w:r>
            <w:r w:rsidRPr="003B4E49">
              <w:rPr>
                <w:rFonts w:asciiTheme="minorHAnsi" w:hAnsiTheme="minorHAnsi"/>
                <w:b w:val="0"/>
                <w:color w:val="0070C0"/>
                <w:sz w:val="20"/>
                <w:szCs w:val="20"/>
              </w:rPr>
              <w:t xml:space="preserve"> dofinansowanie studiów, </w:t>
            </w:r>
            <w:r w:rsidRPr="003B4E49">
              <w:rPr>
                <w:rFonts w:asciiTheme="minorHAnsi" w:hAnsiTheme="minorHAnsi"/>
                <w:b w:val="0"/>
                <w:sz w:val="20"/>
                <w:szCs w:val="20"/>
              </w:rPr>
              <w:t xml:space="preserve">szkolenia, wizyty studyjne, doradztwo,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itp.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17E" w14:textId="77777777" w:rsidR="003B4E49" w:rsidRPr="00911C52" w:rsidRDefault="003B4E49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Doprecyzowanie zapisu.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6FF" w14:textId="77777777" w:rsidR="003B4E49" w:rsidRPr="00911C52" w:rsidRDefault="003B4E49" w:rsidP="009003B6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11C52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. Jako realizatorów wsparcia wskazano ROPS i OWES. W projektach OWES i ROPS nie ma możliwości przekazania środków finansowych innym podmiotom na dofinansowanie studiów dla ich pracowników.  Podkreślić należy 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wyraźnie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fakt, iż 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proponowane formy wsparcia poprzedzone są zwrotem „m.in.”, co oznacza, iż nie stanowią one katalogu zamknię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tego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, co było celowym działaniem. Mogą więc uwzględniać np. organizację  studiów podyplomowych z zakresu ekonomii społecznej, jest to jednak uzależnione od zgłaszanego zapotrzebowania i dostępnych środków finansowych.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Jeżeli pojawią się środki zewnętrzne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/konkursy , wówczas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ROPS może rozważyć przystąpienie do konkursu i </w:t>
            </w:r>
            <w:r w:rsidR="009003B6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ubieganie się o 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dofinansowanie taki</w:t>
            </w:r>
            <w:r w:rsidR="009003B6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ch</w:t>
            </w:r>
            <w:r w:rsidR="00FA068F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działania. </w:t>
            </w: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Ponadto brak uzasadnienia dla dodania proponowanego zapisu.</w:t>
            </w:r>
          </w:p>
        </w:tc>
      </w:tr>
      <w:tr w:rsidR="009003B6" w:rsidRPr="009003B6" w14:paraId="300E954C" w14:textId="77777777" w:rsidTr="001046D1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8418" w14:textId="77777777" w:rsidR="009003B6" w:rsidRPr="009003B6" w:rsidRDefault="009003B6" w:rsidP="008B54A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003B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F5D" w14:textId="77777777" w:rsidR="009003B6" w:rsidRPr="009003B6" w:rsidRDefault="009003B6" w:rsidP="000A2D9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003B6">
              <w:rPr>
                <w:bCs/>
                <w:sz w:val="20"/>
                <w:szCs w:val="20"/>
              </w:rPr>
              <w:t>Gmina Sandomierz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2F6" w14:textId="77777777" w:rsidR="009003B6" w:rsidRPr="009003B6" w:rsidRDefault="009003B6" w:rsidP="000A2D9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003B6">
              <w:rPr>
                <w:bCs/>
                <w:sz w:val="20"/>
                <w:szCs w:val="20"/>
              </w:rPr>
              <w:t>V, cel szczegółowy V, , kierunek interwencji nr 1, s. 130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FB4" w14:textId="77777777" w:rsidR="009003B6" w:rsidRPr="009003B6" w:rsidRDefault="009003B6" w:rsidP="00183778">
            <w:pPr>
              <w:pStyle w:val="Nagwek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003B6">
              <w:rPr>
                <w:rFonts w:asciiTheme="minorHAnsi" w:hAnsiTheme="minorHAnsi"/>
                <w:b w:val="0"/>
                <w:sz w:val="20"/>
                <w:szCs w:val="20"/>
              </w:rPr>
              <w:t>1.2. Podnoszenie kwalifikacji i kompetencji kadr instytucji wspierających sektor ekonomii społecznej w regionie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B70" w14:textId="77777777" w:rsidR="009003B6" w:rsidRPr="009003B6" w:rsidRDefault="009003B6" w:rsidP="009003B6">
            <w:pPr>
              <w:pStyle w:val="Nagwek2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 w:rsidRPr="009003B6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1.1 </w:t>
            </w:r>
            <w:r w:rsidRPr="009003B6">
              <w:rPr>
                <w:rFonts w:asciiTheme="minorHAnsi" w:hAnsiTheme="minorHAnsi"/>
                <w:b w:val="0"/>
                <w:color w:val="0070C0"/>
                <w:sz w:val="20"/>
                <w:szCs w:val="20"/>
                <w:lang w:eastAsia="pl-PL"/>
              </w:rPr>
              <w:t>Dofinansowanie studiów, szkoleń, udziału w konferencjach itp. dla</w:t>
            </w:r>
            <w:r w:rsidRPr="009003B6"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 xml:space="preserve"> kadr instytucji wspierających sektor ekonomii społecznej w regionie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9BC" w14:textId="77777777" w:rsidR="009003B6" w:rsidRPr="009003B6" w:rsidRDefault="009003B6" w:rsidP="00911C52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Nazwa działania jest tożsama z nazwą kierunku interwencji.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018" w14:textId="77777777" w:rsidR="009003B6" w:rsidRPr="009003B6" w:rsidRDefault="009003B6" w:rsidP="009003B6">
            <w:pPr>
              <w:pStyle w:val="Nagwek2"/>
              <w:spacing w:line="24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szCs w:val="20"/>
                <w:lang w:eastAsia="pl-PL"/>
              </w:rPr>
              <w:t>Uwaga nieuwzględniona. Nazwa działania może być  tożsama z nazwą kierunku interwencji. Nie jest to błędem, zatem nie ma potrzeby do jego zmiany.</w:t>
            </w:r>
          </w:p>
        </w:tc>
      </w:tr>
    </w:tbl>
    <w:p w14:paraId="3A825EE6" w14:textId="77777777" w:rsidR="000A2D95" w:rsidRDefault="000A2D95" w:rsidP="006324A6">
      <w:pPr>
        <w:spacing w:after="0" w:line="240" w:lineRule="auto"/>
        <w:rPr>
          <w:b/>
          <w:bCs/>
          <w:sz w:val="20"/>
          <w:szCs w:val="20"/>
        </w:rPr>
        <w:sectPr w:rsidR="000A2D95" w:rsidSect="000A2D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5EA67EA" w14:textId="77777777" w:rsidR="00C01EBB" w:rsidRDefault="00C01EBB">
      <w:pPr>
        <w:rPr>
          <w:color w:val="FF0000"/>
        </w:rPr>
        <w:sectPr w:rsidR="00C01EBB" w:rsidSect="000D75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0F350" w14:textId="77777777" w:rsidR="00C01EBB" w:rsidRDefault="00C01EBB">
      <w:pPr>
        <w:rPr>
          <w:color w:val="FF0000"/>
        </w:rPr>
      </w:pPr>
    </w:p>
    <w:p w14:paraId="54533222" w14:textId="77777777" w:rsidR="00C01EBB" w:rsidRDefault="00C01EBB">
      <w:pPr>
        <w:rPr>
          <w:color w:val="FF0000"/>
        </w:rPr>
      </w:pPr>
    </w:p>
    <w:p w14:paraId="16B715C0" w14:textId="77777777" w:rsidR="00C01EBB" w:rsidRDefault="00C01EBB">
      <w:pPr>
        <w:rPr>
          <w:color w:val="FF0000"/>
        </w:rPr>
      </w:pPr>
    </w:p>
    <w:p w14:paraId="08CA2099" w14:textId="77777777" w:rsidR="00C01EBB" w:rsidRDefault="00C01EBB">
      <w:pPr>
        <w:rPr>
          <w:color w:val="FF0000"/>
        </w:rPr>
      </w:pPr>
    </w:p>
    <w:p w14:paraId="4D5149C0" w14:textId="77777777" w:rsidR="00C01EBB" w:rsidRDefault="00C01EBB">
      <w:pPr>
        <w:rPr>
          <w:color w:val="FF0000"/>
        </w:rPr>
      </w:pPr>
    </w:p>
    <w:p w14:paraId="42871F1F" w14:textId="77777777" w:rsidR="00C01EBB" w:rsidRPr="00252813" w:rsidRDefault="00C01EBB">
      <w:pPr>
        <w:rPr>
          <w:color w:val="FF0000"/>
        </w:rPr>
      </w:pPr>
    </w:p>
    <w:sectPr w:rsidR="00C01EBB" w:rsidRPr="00252813" w:rsidSect="00C01E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434C" w14:textId="77777777" w:rsidR="0045651C" w:rsidRDefault="0045651C" w:rsidP="00252813">
      <w:pPr>
        <w:spacing w:after="0" w:line="240" w:lineRule="auto"/>
      </w:pPr>
      <w:r>
        <w:separator/>
      </w:r>
    </w:p>
  </w:endnote>
  <w:endnote w:type="continuationSeparator" w:id="0">
    <w:p w14:paraId="2532C71B" w14:textId="77777777" w:rsidR="0045651C" w:rsidRDefault="0045651C" w:rsidP="0025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1CF" w14:textId="77777777" w:rsidR="0045651C" w:rsidRDefault="0045651C" w:rsidP="00252813">
      <w:pPr>
        <w:spacing w:after="0" w:line="240" w:lineRule="auto"/>
      </w:pPr>
      <w:r>
        <w:separator/>
      </w:r>
    </w:p>
  </w:footnote>
  <w:footnote w:type="continuationSeparator" w:id="0">
    <w:p w14:paraId="2926A496" w14:textId="77777777" w:rsidR="0045651C" w:rsidRDefault="0045651C" w:rsidP="0025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5A1B7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513B9"/>
    <w:multiLevelType w:val="hybridMultilevel"/>
    <w:tmpl w:val="CB7AB8FA"/>
    <w:lvl w:ilvl="0" w:tplc="43FE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9A9"/>
    <w:multiLevelType w:val="multilevel"/>
    <w:tmpl w:val="F8B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A576D"/>
    <w:multiLevelType w:val="multilevel"/>
    <w:tmpl w:val="5BE272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647A65"/>
    <w:multiLevelType w:val="multilevel"/>
    <w:tmpl w:val="B2D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6348E"/>
    <w:multiLevelType w:val="hybridMultilevel"/>
    <w:tmpl w:val="E66C4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3D4F"/>
    <w:multiLevelType w:val="hybridMultilevel"/>
    <w:tmpl w:val="289AEB8C"/>
    <w:lvl w:ilvl="0" w:tplc="9872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0713"/>
    <w:multiLevelType w:val="multilevel"/>
    <w:tmpl w:val="1A9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0092B"/>
    <w:multiLevelType w:val="multilevel"/>
    <w:tmpl w:val="F4CE2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552A2"/>
    <w:multiLevelType w:val="hybridMultilevel"/>
    <w:tmpl w:val="93FA8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A5D07"/>
    <w:multiLevelType w:val="multilevel"/>
    <w:tmpl w:val="2C74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1020D"/>
    <w:multiLevelType w:val="multilevel"/>
    <w:tmpl w:val="B3623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F81287"/>
    <w:multiLevelType w:val="multilevel"/>
    <w:tmpl w:val="FF6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965558">
    <w:abstractNumId w:val="8"/>
  </w:num>
  <w:num w:numId="2" w16cid:durableId="1685284425">
    <w:abstractNumId w:val="4"/>
  </w:num>
  <w:num w:numId="3" w16cid:durableId="1790470327">
    <w:abstractNumId w:val="10"/>
  </w:num>
  <w:num w:numId="4" w16cid:durableId="1074281117">
    <w:abstractNumId w:val="7"/>
  </w:num>
  <w:num w:numId="5" w16cid:durableId="1134984936">
    <w:abstractNumId w:val="2"/>
  </w:num>
  <w:num w:numId="6" w16cid:durableId="433863648">
    <w:abstractNumId w:val="0"/>
  </w:num>
  <w:num w:numId="7" w16cid:durableId="432824313">
    <w:abstractNumId w:val="5"/>
  </w:num>
  <w:num w:numId="8" w16cid:durableId="260770576">
    <w:abstractNumId w:val="6"/>
  </w:num>
  <w:num w:numId="9" w16cid:durableId="1626354080">
    <w:abstractNumId w:val="9"/>
  </w:num>
  <w:num w:numId="10" w16cid:durableId="2039433279">
    <w:abstractNumId w:val="12"/>
  </w:num>
  <w:num w:numId="11" w16cid:durableId="1235698026">
    <w:abstractNumId w:val="1"/>
  </w:num>
  <w:num w:numId="12" w16cid:durableId="1731687764">
    <w:abstractNumId w:val="3"/>
  </w:num>
  <w:num w:numId="13" w16cid:durableId="2016377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DA"/>
    <w:rsid w:val="000A2D95"/>
    <w:rsid w:val="000C5F95"/>
    <w:rsid w:val="000D75AC"/>
    <w:rsid w:val="00101277"/>
    <w:rsid w:val="00176D12"/>
    <w:rsid w:val="00183778"/>
    <w:rsid w:val="001D792B"/>
    <w:rsid w:val="00252813"/>
    <w:rsid w:val="002E57ED"/>
    <w:rsid w:val="00321267"/>
    <w:rsid w:val="00355DEF"/>
    <w:rsid w:val="003B4E49"/>
    <w:rsid w:val="0045651C"/>
    <w:rsid w:val="00457617"/>
    <w:rsid w:val="0049004B"/>
    <w:rsid w:val="00526211"/>
    <w:rsid w:val="00532244"/>
    <w:rsid w:val="00583EC9"/>
    <w:rsid w:val="006324A6"/>
    <w:rsid w:val="006533D8"/>
    <w:rsid w:val="00680972"/>
    <w:rsid w:val="006E2CE2"/>
    <w:rsid w:val="00742ADA"/>
    <w:rsid w:val="0075230D"/>
    <w:rsid w:val="00790CC8"/>
    <w:rsid w:val="00796CC0"/>
    <w:rsid w:val="009003B6"/>
    <w:rsid w:val="00911C52"/>
    <w:rsid w:val="009B4CC1"/>
    <w:rsid w:val="009D70AE"/>
    <w:rsid w:val="00A744C4"/>
    <w:rsid w:val="00AA18FA"/>
    <w:rsid w:val="00AB5075"/>
    <w:rsid w:val="00AC7A70"/>
    <w:rsid w:val="00C01EBB"/>
    <w:rsid w:val="00D70907"/>
    <w:rsid w:val="00D77D0C"/>
    <w:rsid w:val="00EA7FA7"/>
    <w:rsid w:val="00EB63A4"/>
    <w:rsid w:val="00F413A7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AE4B"/>
  <w15:docId w15:val="{06B6FA59-6921-458D-A210-261F5E0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5AC"/>
  </w:style>
  <w:style w:type="paragraph" w:styleId="Nagwek1">
    <w:name w:val="heading 1"/>
    <w:basedOn w:val="Normalny"/>
    <w:link w:val="Nagwek1Znak"/>
    <w:uiPriority w:val="9"/>
    <w:qFormat/>
    <w:rsid w:val="009D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2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0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D70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70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9D70A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813"/>
    <w:rPr>
      <w:vertAlign w:val="superscript"/>
    </w:rPr>
  </w:style>
  <w:style w:type="paragraph" w:customStyle="1" w:styleId="Default">
    <w:name w:val="Default"/>
    <w:rsid w:val="0079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57E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57ED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79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2D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.rops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s.umw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etokrzyskie.pro/category/urzad-marszalkowski/departamenty/regionalny-osrodek-polityki-spolecznej/aktualnosci-regionalnego-osrodka-polityki-spolecznej/strona/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Jończyk, Renata</dc:creator>
  <cp:keywords/>
  <dc:description/>
  <cp:lastModifiedBy>Jończyk, Renata</cp:lastModifiedBy>
  <cp:revision>9</cp:revision>
  <dcterms:created xsi:type="dcterms:W3CDTF">2023-05-17T13:35:00Z</dcterms:created>
  <dcterms:modified xsi:type="dcterms:W3CDTF">2023-05-25T07:11:00Z</dcterms:modified>
</cp:coreProperties>
</file>