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85D9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E1CDB8" w14:textId="06FA5F27" w:rsidR="00D461AE" w:rsidRDefault="00723960" w:rsidP="00D23514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4240D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64240D">
        <w:rPr>
          <w:rFonts w:ascii="Times New Roman" w:hAnsi="Times New Roman"/>
          <w:color w:val="000000"/>
          <w:lang w:val="pl-PL"/>
        </w:rPr>
        <w:t>1</w:t>
      </w:r>
      <w:r w:rsidR="005657E4">
        <w:rPr>
          <w:rFonts w:ascii="Times New Roman" w:hAnsi="Times New Roman"/>
          <w:color w:val="000000"/>
          <w:lang w:val="pl-PL"/>
        </w:rPr>
        <w:t>5</w:t>
      </w:r>
      <w:r w:rsidR="0064240D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202</w:t>
      </w:r>
      <w:r w:rsidR="0064240D">
        <w:rPr>
          <w:rFonts w:ascii="Times New Roman" w:hAnsi="Times New Roman"/>
          <w:color w:val="000000"/>
          <w:lang w:val="pl-PL"/>
        </w:rPr>
        <w:t>2</w:t>
      </w:r>
      <w:r w:rsidR="00D23514">
        <w:rPr>
          <w:rFonts w:ascii="Times New Roman" w:hAnsi="Times New Roman"/>
          <w:color w:val="000000"/>
          <w:lang w:val="pl-PL"/>
        </w:rPr>
        <w:t xml:space="preserve"> </w:t>
      </w:r>
      <w:r w:rsidR="00D23514">
        <w:rPr>
          <w:rFonts w:ascii="Times New Roman" w:hAnsi="Times New Roman"/>
          <w:color w:val="000000"/>
          <w:lang w:val="pl-PL"/>
        </w:rPr>
        <w:tab/>
      </w:r>
      <w:r w:rsidR="00D461AE" w:rsidRPr="003E522D">
        <w:rPr>
          <w:rFonts w:ascii="Times New Roman" w:hAnsi="Times New Roman"/>
          <w:color w:val="000000"/>
          <w:lang w:val="pl-PL"/>
        </w:rPr>
        <w:t xml:space="preserve">Kielce, </w:t>
      </w:r>
      <w:r w:rsidR="009C5A7A">
        <w:rPr>
          <w:rFonts w:ascii="Times New Roman" w:hAnsi="Times New Roman"/>
          <w:color w:val="000000"/>
          <w:lang w:val="pl-PL"/>
        </w:rPr>
        <w:t>1</w:t>
      </w:r>
      <w:r w:rsidR="00E02420">
        <w:rPr>
          <w:rFonts w:ascii="Times New Roman" w:hAnsi="Times New Roman"/>
          <w:color w:val="000000"/>
          <w:lang w:val="pl-PL"/>
        </w:rPr>
        <w:t>6</w:t>
      </w:r>
      <w:r w:rsidR="000765C8">
        <w:rPr>
          <w:rFonts w:ascii="Times New Roman" w:hAnsi="Times New Roman"/>
          <w:color w:val="000000"/>
          <w:lang w:val="pl-PL"/>
        </w:rPr>
        <w:t xml:space="preserve"> listopada </w:t>
      </w:r>
      <w:r w:rsidR="00883989">
        <w:rPr>
          <w:rFonts w:ascii="Times New Roman" w:hAnsi="Times New Roman"/>
          <w:color w:val="000000"/>
          <w:lang w:val="pl-PL"/>
        </w:rPr>
        <w:t>202</w:t>
      </w:r>
      <w:r w:rsidR="0064240D">
        <w:rPr>
          <w:rFonts w:ascii="Times New Roman" w:hAnsi="Times New Roman"/>
          <w:color w:val="000000"/>
          <w:lang w:val="pl-PL"/>
        </w:rPr>
        <w:t>2</w:t>
      </w:r>
    </w:p>
    <w:p w14:paraId="549DD74C" w14:textId="52F2B12A" w:rsidR="00A54EC6" w:rsidRPr="00A6115F" w:rsidRDefault="00A54EC6" w:rsidP="00EC7123">
      <w:pPr>
        <w:rPr>
          <w:rFonts w:ascii="Times New Roman" w:hAnsi="Times New Roman"/>
          <w:b/>
          <w:color w:val="000000"/>
          <w:lang w:val="pl-PL"/>
        </w:rPr>
      </w:pPr>
    </w:p>
    <w:p w14:paraId="46595514" w14:textId="4E2105F4" w:rsidR="00D461AE" w:rsidRPr="00BD668B" w:rsidRDefault="00D461AE" w:rsidP="00D23514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BD668B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6C21AB44" w14:textId="77777777" w:rsidR="00D461AE" w:rsidRPr="00BD668B" w:rsidRDefault="00D461AE" w:rsidP="00D461AE">
      <w:pPr>
        <w:jc w:val="center"/>
        <w:rPr>
          <w:rFonts w:ascii="Times New Roman" w:hAnsi="Times New Roman"/>
          <w:b/>
          <w:sz w:val="20"/>
          <w:lang w:val="pl-PL"/>
        </w:rPr>
      </w:pPr>
    </w:p>
    <w:p w14:paraId="62B44916" w14:textId="3756A02C" w:rsidR="00290D62" w:rsidRPr="00846CF2" w:rsidRDefault="00D461AE" w:rsidP="00290D62">
      <w:pPr>
        <w:jc w:val="both"/>
        <w:rPr>
          <w:rFonts w:ascii="Times New Roman" w:hAnsi="Times New Roman"/>
          <w:lang w:val="pl-PL"/>
        </w:rPr>
      </w:pPr>
      <w:r w:rsidRPr="00BD668B">
        <w:rPr>
          <w:rFonts w:ascii="Times New Roman" w:hAnsi="Times New Roman"/>
          <w:lang w:val="pl-PL"/>
        </w:rPr>
        <w:tab/>
      </w:r>
      <w:r w:rsidR="00EC7123" w:rsidRPr="003E798A">
        <w:rPr>
          <w:rFonts w:ascii="Times New Roman" w:hAnsi="Times New Roman"/>
          <w:lang w:val="pl-PL"/>
        </w:rPr>
        <w:t xml:space="preserve">Na podstawie </w:t>
      </w:r>
      <w:r w:rsidR="00EC7123" w:rsidRPr="00F8324D">
        <w:rPr>
          <w:rFonts w:ascii="Times New Roman" w:hAnsi="Times New Roman"/>
          <w:lang w:val="pl-PL"/>
        </w:rPr>
        <w:t xml:space="preserve">art. 21 ust. 1 pkt. 2, art. 22 ust. 4, </w:t>
      </w:r>
      <w:r w:rsidR="00EC7123" w:rsidRPr="00453732">
        <w:rPr>
          <w:rFonts w:ascii="Times New Roman" w:hAnsi="Times New Roman"/>
          <w:lang w:val="pl-PL"/>
        </w:rPr>
        <w:t>art. 23 ust. 2a pkt 1,</w:t>
      </w:r>
      <w:r w:rsidR="00EC7123" w:rsidRPr="00F8324D">
        <w:rPr>
          <w:rFonts w:ascii="Times New Roman" w:hAnsi="Times New Roman"/>
          <w:lang w:val="pl-PL"/>
        </w:rPr>
        <w:t xml:space="preserve"> art. 30 i art. 32 </w:t>
      </w:r>
      <w:r w:rsidR="00CA05FC">
        <w:rPr>
          <w:rFonts w:ascii="Times New Roman" w:hAnsi="Times New Roman"/>
          <w:lang w:val="pl-PL"/>
        </w:rPr>
        <w:br/>
      </w:r>
      <w:r w:rsidR="00EC7123" w:rsidRPr="00F8324D">
        <w:rPr>
          <w:rFonts w:ascii="Times New Roman" w:hAnsi="Times New Roman"/>
          <w:lang w:val="pl-PL"/>
        </w:rPr>
        <w:t>ust. 1, w związku z art. 34 ust. 1</w:t>
      </w:r>
      <w:r w:rsidR="00EC7123">
        <w:rPr>
          <w:rFonts w:ascii="Times New Roman" w:hAnsi="Times New Roman"/>
          <w:lang w:val="pl-PL"/>
        </w:rPr>
        <w:t xml:space="preserve">a </w:t>
      </w:r>
      <w:r w:rsidR="00EC7123" w:rsidRPr="00F8324D">
        <w:rPr>
          <w:rFonts w:ascii="Times New Roman" w:hAnsi="Times New Roman"/>
          <w:lang w:val="pl-PL"/>
        </w:rPr>
        <w:t>ustawy z dnia 9 czerwca 2011r. – Prawo geolo</w:t>
      </w:r>
      <w:r w:rsidR="00EC7123">
        <w:rPr>
          <w:rFonts w:ascii="Times New Roman" w:hAnsi="Times New Roman"/>
          <w:lang w:val="pl-PL"/>
        </w:rPr>
        <w:t>giczne i górnicze (Dz. U. z 20</w:t>
      </w:r>
      <w:r w:rsidR="0064240D">
        <w:rPr>
          <w:rFonts w:ascii="Times New Roman" w:hAnsi="Times New Roman"/>
          <w:lang w:val="pl-PL"/>
        </w:rPr>
        <w:t>22</w:t>
      </w:r>
      <w:r w:rsidR="00EC7123" w:rsidRPr="00F8324D">
        <w:rPr>
          <w:rFonts w:ascii="Times New Roman" w:hAnsi="Times New Roman"/>
          <w:lang w:val="pl-PL"/>
        </w:rPr>
        <w:t>r., poz.</w:t>
      </w:r>
      <w:r w:rsidR="00EC7123">
        <w:rPr>
          <w:rFonts w:ascii="Times New Roman" w:hAnsi="Times New Roman"/>
          <w:lang w:val="pl-PL"/>
        </w:rPr>
        <w:t> </w:t>
      </w:r>
      <w:r w:rsidR="0064240D">
        <w:rPr>
          <w:rFonts w:ascii="Times New Roman" w:hAnsi="Times New Roman"/>
          <w:lang w:val="pl-PL"/>
        </w:rPr>
        <w:t>1072</w:t>
      </w:r>
      <w:r w:rsidR="00290D62">
        <w:rPr>
          <w:rFonts w:ascii="Times New Roman" w:hAnsi="Times New Roman"/>
          <w:lang w:val="pl-PL"/>
        </w:rPr>
        <w:t xml:space="preserve"> ze zm.</w:t>
      </w:r>
      <w:r w:rsidR="00EC7123" w:rsidRPr="00F8324D">
        <w:rPr>
          <w:rFonts w:ascii="Times New Roman" w:hAnsi="Times New Roman"/>
          <w:lang w:val="pl-PL"/>
        </w:rPr>
        <w:t>)</w:t>
      </w:r>
      <w:r w:rsidR="00290D62">
        <w:rPr>
          <w:rFonts w:ascii="Times New Roman" w:hAnsi="Times New Roman"/>
          <w:lang w:val="pl-PL"/>
        </w:rPr>
        <w:t xml:space="preserve"> oraz art. 104 </w:t>
      </w:r>
      <w:r w:rsidR="00290D62" w:rsidRPr="00147F2D">
        <w:rPr>
          <w:rFonts w:ascii="Times New Roman" w:hAnsi="Times New Roman"/>
          <w:lang w:val="pl-PL"/>
        </w:rPr>
        <w:t>ustawy</w:t>
      </w:r>
      <w:r w:rsidR="00290D62" w:rsidRPr="00CA7A03">
        <w:rPr>
          <w:rFonts w:ascii="Times New Roman" w:hAnsi="Times New Roman"/>
          <w:lang w:val="pl-PL"/>
        </w:rPr>
        <w:t xml:space="preserve"> z dnia 14 czerwca 1960</w:t>
      </w:r>
      <w:r w:rsidR="00290D62">
        <w:rPr>
          <w:rFonts w:ascii="Times New Roman" w:hAnsi="Times New Roman"/>
          <w:lang w:val="pl-PL"/>
        </w:rPr>
        <w:t> </w:t>
      </w:r>
      <w:r w:rsidR="00290D62" w:rsidRPr="00CA7A03">
        <w:rPr>
          <w:rFonts w:ascii="Times New Roman" w:hAnsi="Times New Roman"/>
          <w:lang w:val="pl-PL"/>
        </w:rPr>
        <w:t>r. – Kodeks postępowania administracyjnego (Dz. U. z 20</w:t>
      </w:r>
      <w:r w:rsidR="00290D62">
        <w:rPr>
          <w:rFonts w:ascii="Times New Roman" w:hAnsi="Times New Roman"/>
          <w:lang w:val="pl-PL"/>
        </w:rPr>
        <w:t>2</w:t>
      </w:r>
      <w:r w:rsidR="00E87229">
        <w:rPr>
          <w:rFonts w:ascii="Times New Roman" w:hAnsi="Times New Roman"/>
          <w:lang w:val="pl-PL"/>
        </w:rPr>
        <w:t>2</w:t>
      </w:r>
      <w:r w:rsidR="00290D62">
        <w:rPr>
          <w:rFonts w:ascii="Times New Roman" w:hAnsi="Times New Roman"/>
          <w:lang w:val="pl-PL"/>
        </w:rPr>
        <w:t> </w:t>
      </w:r>
      <w:r w:rsidR="00290D62" w:rsidRPr="00CA7A03">
        <w:rPr>
          <w:rFonts w:ascii="Times New Roman" w:hAnsi="Times New Roman"/>
          <w:lang w:val="pl-PL"/>
        </w:rPr>
        <w:t xml:space="preserve">r., poz. </w:t>
      </w:r>
      <w:r w:rsidR="00E87229">
        <w:rPr>
          <w:rFonts w:ascii="Times New Roman" w:hAnsi="Times New Roman"/>
          <w:lang w:val="pl-PL"/>
        </w:rPr>
        <w:t>2000</w:t>
      </w:r>
      <w:r w:rsidR="00290D62" w:rsidRPr="00CA7A03">
        <w:rPr>
          <w:rFonts w:ascii="Times New Roman" w:hAnsi="Times New Roman"/>
          <w:lang w:val="pl-PL"/>
        </w:rPr>
        <w:t>)</w:t>
      </w:r>
      <w:r w:rsidR="00CA05FC">
        <w:rPr>
          <w:rFonts w:ascii="Times New Roman" w:hAnsi="Times New Roman"/>
          <w:lang w:val="pl-PL"/>
        </w:rPr>
        <w:t>,</w:t>
      </w:r>
    </w:p>
    <w:p w14:paraId="6775EDFA" w14:textId="77777777" w:rsidR="00D461AE" w:rsidRPr="005B7575" w:rsidRDefault="00AD3EF4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lang w:val="pl-PL"/>
        </w:rPr>
      </w:pPr>
      <w:r w:rsidRPr="005B7575">
        <w:rPr>
          <w:rFonts w:ascii="Times New Roman" w:hAnsi="Times New Roman"/>
          <w:b/>
          <w:lang w:val="pl-PL"/>
        </w:rPr>
        <w:t>orzekam</w:t>
      </w:r>
    </w:p>
    <w:p w14:paraId="323788AE" w14:textId="77777777" w:rsidR="00D461AE" w:rsidRPr="005B7575" w:rsidRDefault="00D461AE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w w:val="150"/>
          <w:lang w:val="pl-PL"/>
        </w:rPr>
      </w:pPr>
    </w:p>
    <w:p w14:paraId="17835487" w14:textId="18C3C9DE" w:rsidR="005B7575" w:rsidRPr="005B7575" w:rsidRDefault="005B7575" w:rsidP="005B7575">
      <w:pPr>
        <w:pStyle w:val="Akapitzlist"/>
        <w:ind w:left="0"/>
        <w:jc w:val="both"/>
        <w:rPr>
          <w:rFonts w:ascii="Times New Roman" w:hAnsi="Times New Roman"/>
          <w:lang w:val="pl-PL"/>
        </w:rPr>
      </w:pPr>
      <w:r w:rsidRPr="005B7575">
        <w:rPr>
          <w:rFonts w:ascii="Times New Roman" w:hAnsi="Times New Roman"/>
          <w:b/>
          <w:lang w:val="pl-PL"/>
        </w:rPr>
        <w:t>zm</w:t>
      </w:r>
      <w:r>
        <w:rPr>
          <w:rFonts w:ascii="Times New Roman" w:hAnsi="Times New Roman"/>
          <w:b/>
          <w:lang w:val="pl-PL"/>
        </w:rPr>
        <w:t>ieniam</w:t>
      </w:r>
      <w:r w:rsidR="00D461AE" w:rsidRPr="005B7575">
        <w:rPr>
          <w:rFonts w:ascii="Times New Roman" w:hAnsi="Times New Roman"/>
          <w:b/>
          <w:lang w:val="pl-PL"/>
        </w:rPr>
        <w:t xml:space="preserve"> koncesję</w:t>
      </w:r>
      <w:r w:rsidR="00D461AE" w:rsidRPr="005B7575">
        <w:rPr>
          <w:rFonts w:ascii="Times New Roman" w:hAnsi="Times New Roman"/>
          <w:lang w:val="pl-PL"/>
        </w:rPr>
        <w:t xml:space="preserve"> </w:t>
      </w:r>
      <w:r w:rsidR="00CD133A" w:rsidRPr="00CD133A">
        <w:rPr>
          <w:rFonts w:ascii="Times New Roman" w:hAnsi="Times New Roman"/>
          <w:lang w:val="pl-PL"/>
        </w:rPr>
        <w:t>Wojewody Świętokrzyskiego z dnia 16.08.1999r., znak: OSR.V-7512/10/99, udzieloną Kopalniom Odkrywkowym Surowców Drogowych S.A. z siedzibą w</w:t>
      </w:r>
      <w:r w:rsidR="008B534A">
        <w:rPr>
          <w:rFonts w:ascii="Times New Roman" w:hAnsi="Times New Roman"/>
          <w:lang w:val="pl-PL"/>
        </w:rPr>
        <w:t> </w:t>
      </w:r>
      <w:r w:rsidR="00CD133A" w:rsidRPr="00CD133A">
        <w:rPr>
          <w:rFonts w:ascii="Times New Roman" w:hAnsi="Times New Roman"/>
          <w:lang w:val="pl-PL"/>
        </w:rPr>
        <w:t>Kielcach, a następnie decyzją Marszałka Województwa Świętokrzyskiego z dnia 15.01.2014r., znak: OWŚ.V.7422.39.2013 przeniesioną na rzecz spółki Kopalnia Kostomłoty Sp. z o.o. z siedzibą w miejscowości Kostomłoty Drugie</w:t>
      </w:r>
      <w:r w:rsidR="00CD133A">
        <w:rPr>
          <w:rFonts w:ascii="Times New Roman" w:hAnsi="Times New Roman"/>
          <w:lang w:val="pl-PL"/>
        </w:rPr>
        <w:t>, zmienioną decyzją z dnia 23.05.2014</w:t>
      </w:r>
      <w:r w:rsidR="00CA05FC">
        <w:rPr>
          <w:rFonts w:ascii="Times New Roman" w:hAnsi="Times New Roman"/>
          <w:lang w:val="pl-PL"/>
        </w:rPr>
        <w:t> r</w:t>
      </w:r>
      <w:r w:rsidR="00CD133A">
        <w:rPr>
          <w:rFonts w:ascii="Times New Roman" w:hAnsi="Times New Roman"/>
          <w:lang w:val="pl-PL"/>
        </w:rPr>
        <w:t xml:space="preserve">. znak </w:t>
      </w:r>
      <w:r w:rsidR="00CD133A" w:rsidRPr="00FA0886">
        <w:rPr>
          <w:rFonts w:ascii="Times New Roman" w:hAnsi="Times New Roman"/>
          <w:color w:val="000000"/>
          <w:lang w:val="pl-PL"/>
        </w:rPr>
        <w:t>OWŚ-V.7422.</w:t>
      </w:r>
      <w:r w:rsidR="00CD133A">
        <w:rPr>
          <w:rFonts w:ascii="Times New Roman" w:hAnsi="Times New Roman"/>
          <w:color w:val="000000"/>
          <w:lang w:val="pl-PL"/>
        </w:rPr>
        <w:t>14.2014</w:t>
      </w:r>
      <w:r w:rsidR="001A1B2E">
        <w:rPr>
          <w:rFonts w:ascii="Times New Roman" w:hAnsi="Times New Roman"/>
          <w:lang w:val="pl-PL"/>
        </w:rPr>
        <w:t xml:space="preserve"> </w:t>
      </w:r>
      <w:r w:rsidR="00710E38">
        <w:rPr>
          <w:rFonts w:ascii="Times New Roman" w:hAnsi="Times New Roman"/>
          <w:lang w:val="pl-PL"/>
        </w:rPr>
        <w:t xml:space="preserve">na wydobywanie </w:t>
      </w:r>
      <w:r w:rsidR="006F72C6">
        <w:rPr>
          <w:rFonts w:ascii="Times New Roman" w:hAnsi="Times New Roman"/>
          <w:lang w:val="pl-PL"/>
        </w:rPr>
        <w:t>wapieni dewońskich z</w:t>
      </w:r>
      <w:r w:rsidR="00721DDA">
        <w:rPr>
          <w:rFonts w:ascii="Times New Roman" w:hAnsi="Times New Roman"/>
          <w:lang w:val="pl-PL"/>
        </w:rPr>
        <w:t>e</w:t>
      </w:r>
      <w:r w:rsidR="006F72C6">
        <w:rPr>
          <w:rFonts w:ascii="Times New Roman" w:hAnsi="Times New Roman"/>
          <w:lang w:val="pl-PL"/>
        </w:rPr>
        <w:t xml:space="preserve"> złoża „</w:t>
      </w:r>
      <w:r w:rsidR="00721DDA">
        <w:rPr>
          <w:rFonts w:ascii="Times New Roman" w:hAnsi="Times New Roman"/>
          <w:lang w:val="pl-PL"/>
        </w:rPr>
        <w:t>Kostomłoty</w:t>
      </w:r>
      <w:r w:rsidR="006F72C6">
        <w:rPr>
          <w:rFonts w:ascii="Times New Roman" w:hAnsi="Times New Roman"/>
          <w:lang w:val="pl-PL"/>
        </w:rPr>
        <w:t>”</w:t>
      </w:r>
      <w:r w:rsidR="00D461AE" w:rsidRPr="005B7575">
        <w:rPr>
          <w:rFonts w:ascii="Times New Roman" w:hAnsi="Times New Roman"/>
          <w:lang w:val="pl-PL"/>
        </w:rPr>
        <w:t xml:space="preserve">, </w:t>
      </w:r>
      <w:r w:rsidR="00D461AE" w:rsidRPr="005B7575">
        <w:rPr>
          <w:rFonts w:ascii="Times New Roman" w:hAnsi="Times New Roman"/>
          <w:b/>
          <w:lang w:val="pl-PL"/>
        </w:rPr>
        <w:t>w ten sposób, że</w:t>
      </w:r>
      <w:r w:rsidR="00743DAC">
        <w:rPr>
          <w:rFonts w:ascii="Times New Roman" w:hAnsi="Times New Roman"/>
          <w:b/>
          <w:lang w:val="pl-PL"/>
        </w:rPr>
        <w:t xml:space="preserve"> koncesja ta otrzymuje nowe brzmienie</w:t>
      </w:r>
      <w:r w:rsidRPr="005B7575">
        <w:rPr>
          <w:rFonts w:ascii="Times New Roman" w:hAnsi="Times New Roman"/>
          <w:b/>
          <w:lang w:val="pl-PL"/>
        </w:rPr>
        <w:t>:</w:t>
      </w:r>
      <w:r w:rsidR="00D461AE" w:rsidRPr="005B7575">
        <w:rPr>
          <w:rFonts w:ascii="Times New Roman" w:hAnsi="Times New Roman"/>
          <w:b/>
          <w:lang w:val="pl-PL"/>
        </w:rPr>
        <w:t xml:space="preserve"> </w:t>
      </w:r>
    </w:p>
    <w:p w14:paraId="244E864D" w14:textId="77777777" w:rsidR="00D461AE" w:rsidRDefault="00D461AE" w:rsidP="00D461AE">
      <w:pPr>
        <w:jc w:val="both"/>
        <w:rPr>
          <w:rFonts w:ascii="Times New Roman" w:hAnsi="Times New Roman"/>
          <w:b/>
          <w:lang w:val="pl-PL"/>
        </w:rPr>
      </w:pPr>
    </w:p>
    <w:p w14:paraId="738307D8" w14:textId="1DFA1B5D" w:rsidR="00380346" w:rsidRPr="00417F9A" w:rsidRDefault="00380346" w:rsidP="00417F9A">
      <w:pPr>
        <w:pStyle w:val="Akapitzlist"/>
        <w:numPr>
          <w:ilvl w:val="0"/>
          <w:numId w:val="5"/>
        </w:numPr>
        <w:ind w:left="357"/>
        <w:jc w:val="both"/>
        <w:rPr>
          <w:rFonts w:ascii="Times New Roman" w:hAnsi="Times New Roman"/>
          <w:lang w:val="pl-PL"/>
        </w:rPr>
      </w:pPr>
      <w:r w:rsidRPr="00677ACC">
        <w:rPr>
          <w:rFonts w:ascii="Times New Roman" w:hAnsi="Times New Roman"/>
          <w:lang w:val="pl-PL"/>
        </w:rPr>
        <w:t xml:space="preserve">Udzielam </w:t>
      </w:r>
      <w:r w:rsidR="00D176BD" w:rsidRPr="00677ACC">
        <w:rPr>
          <w:rFonts w:ascii="Times New Roman" w:hAnsi="Times New Roman"/>
          <w:bCs/>
          <w:lang w:val="pl-PL"/>
        </w:rPr>
        <w:t>spółce</w:t>
      </w:r>
      <w:r w:rsidR="00D176BD" w:rsidRPr="00677ACC">
        <w:rPr>
          <w:rFonts w:ascii="Times New Roman" w:hAnsi="Times New Roman"/>
          <w:b/>
          <w:lang w:val="pl-PL"/>
        </w:rPr>
        <w:t xml:space="preserve"> </w:t>
      </w:r>
      <w:bookmarkStart w:id="0" w:name="_Hlk114126982"/>
      <w:bookmarkStart w:id="1" w:name="_Hlk113522873"/>
      <w:bookmarkStart w:id="2" w:name="_Hlk113883116"/>
      <w:r w:rsidR="00721DDA" w:rsidRPr="00721DDA">
        <w:rPr>
          <w:rFonts w:ascii="Times New Roman" w:hAnsi="Times New Roman"/>
          <w:b/>
          <w:lang w:val="pl-PL"/>
        </w:rPr>
        <w:t>Kopalnia Kostomłoty Sp. z o.o</w:t>
      </w:r>
      <w:bookmarkEnd w:id="0"/>
      <w:r w:rsidR="00721DDA" w:rsidRPr="00721DDA">
        <w:rPr>
          <w:rFonts w:ascii="Times New Roman" w:hAnsi="Times New Roman"/>
          <w:b/>
          <w:lang w:val="pl-PL"/>
        </w:rPr>
        <w:t xml:space="preserve">. </w:t>
      </w:r>
      <w:bookmarkEnd w:id="1"/>
      <w:r w:rsidR="00721DDA" w:rsidRPr="00721DDA">
        <w:rPr>
          <w:rFonts w:ascii="Times New Roman" w:hAnsi="Times New Roman"/>
          <w:b/>
          <w:lang w:val="pl-PL"/>
        </w:rPr>
        <w:t xml:space="preserve">z siedzibą w miejscowości Kostomłoty Drugie, przy ul. Bugajskiej nr 89, 26-085 Miedziana Góra </w:t>
      </w:r>
      <w:bookmarkEnd w:id="2"/>
      <w:r w:rsidR="00721DDA" w:rsidRPr="0036314C">
        <w:rPr>
          <w:rFonts w:ascii="Times New Roman" w:hAnsi="Times New Roman"/>
          <w:b/>
          <w:lang w:val="pl-PL"/>
        </w:rPr>
        <w:t>(KRS: 0000458666, NIP: 9591952109, REGON: 260687952</w:t>
      </w:r>
      <w:r w:rsidR="00721DDA" w:rsidRPr="00721DDA">
        <w:rPr>
          <w:rFonts w:ascii="Times New Roman" w:hAnsi="Times New Roman"/>
          <w:b/>
          <w:lang w:val="pl-PL"/>
        </w:rPr>
        <w:t>), koncesji na wydobywanie wapieni</w:t>
      </w:r>
      <w:r w:rsidR="00721DDA">
        <w:rPr>
          <w:rFonts w:ascii="Times New Roman" w:hAnsi="Times New Roman"/>
          <w:b/>
          <w:lang w:val="pl-PL"/>
        </w:rPr>
        <w:t xml:space="preserve"> i łupków</w:t>
      </w:r>
      <w:r w:rsidR="00721DDA" w:rsidRPr="00721DDA">
        <w:rPr>
          <w:rFonts w:ascii="Times New Roman" w:hAnsi="Times New Roman"/>
          <w:b/>
          <w:lang w:val="pl-PL"/>
        </w:rPr>
        <w:t xml:space="preserve"> dewońskich z części złoża „Kostomłoty”, </w:t>
      </w:r>
      <w:r w:rsidRPr="00290D62">
        <w:rPr>
          <w:rFonts w:ascii="Times New Roman" w:hAnsi="Times New Roman"/>
          <w:lang w:val="pl-PL"/>
        </w:rPr>
        <w:t xml:space="preserve">położonego </w:t>
      </w:r>
      <w:r w:rsidR="00192AFA" w:rsidRPr="00290D62">
        <w:rPr>
          <w:rFonts w:ascii="Times New Roman" w:hAnsi="Times New Roman"/>
          <w:lang w:val="pl-PL"/>
        </w:rPr>
        <w:t xml:space="preserve">w granicach działek </w:t>
      </w:r>
      <w:r w:rsidR="00CA05FC">
        <w:rPr>
          <w:rFonts w:ascii="Times New Roman" w:hAnsi="Times New Roman"/>
          <w:lang w:val="pl-PL"/>
        </w:rPr>
        <w:t>ewid</w:t>
      </w:r>
      <w:r w:rsidR="00CA05FC" w:rsidRPr="00290D62">
        <w:rPr>
          <w:rFonts w:ascii="Times New Roman" w:hAnsi="Times New Roman"/>
          <w:lang w:val="pl-PL"/>
        </w:rPr>
        <w:t xml:space="preserve"> </w:t>
      </w:r>
      <w:r w:rsidR="00192AFA" w:rsidRPr="00290D62">
        <w:rPr>
          <w:rFonts w:ascii="Times New Roman" w:hAnsi="Times New Roman"/>
          <w:lang w:val="pl-PL"/>
        </w:rPr>
        <w:t>nr</w:t>
      </w:r>
      <w:r w:rsidR="00CA05FC">
        <w:rPr>
          <w:rFonts w:ascii="Times New Roman" w:hAnsi="Times New Roman"/>
          <w:lang w:val="pl-PL"/>
        </w:rPr>
        <w:t>:</w:t>
      </w:r>
      <w:r w:rsidR="0075065E" w:rsidRPr="00290D62">
        <w:rPr>
          <w:rFonts w:ascii="Times New Roman" w:hAnsi="Times New Roman"/>
          <w:lang w:val="pl-PL"/>
        </w:rPr>
        <w:t xml:space="preserve"> </w:t>
      </w:r>
      <w:r w:rsidR="004C773C" w:rsidRPr="00D9423C">
        <w:rPr>
          <w:rFonts w:ascii="Times New Roman" w:hAnsi="Times New Roman"/>
          <w:lang w:val="pl-PL"/>
        </w:rPr>
        <w:t xml:space="preserve">71/2, 71/3, 80/4, 27/76, </w:t>
      </w:r>
      <w:r w:rsidR="004C773C" w:rsidRPr="00DA7AD5">
        <w:rPr>
          <w:rFonts w:ascii="Times New Roman" w:hAnsi="Times New Roman"/>
          <w:lang w:val="pl-PL"/>
        </w:rPr>
        <w:t>491/2</w:t>
      </w:r>
      <w:r w:rsidR="004C773C" w:rsidRPr="00D9423C">
        <w:rPr>
          <w:rFonts w:ascii="Times New Roman" w:hAnsi="Times New Roman"/>
          <w:lang w:val="pl-PL"/>
        </w:rPr>
        <w:t>, 491/3, 491/4, 491/5, 491/6, 491/7, 491/8, 493/2, 494/3, 496/1, 2055/5, 2055/3, 2058/5, 390/1, 339, 338, 337, 336, 335, 334, 340/4, 2216/1, 352/1</w:t>
      </w:r>
      <w:r w:rsidR="00DA7AD5">
        <w:rPr>
          <w:rFonts w:ascii="Times New Roman" w:hAnsi="Times New Roman"/>
          <w:lang w:val="pl-PL"/>
        </w:rPr>
        <w:t xml:space="preserve">, </w:t>
      </w:r>
      <w:r w:rsidR="004C773C" w:rsidRPr="00D9423C">
        <w:rPr>
          <w:rFonts w:ascii="Times New Roman" w:hAnsi="Times New Roman"/>
          <w:lang w:val="pl-PL"/>
        </w:rPr>
        <w:t xml:space="preserve">353/9, 353/5 </w:t>
      </w:r>
      <w:r w:rsidR="003134A2" w:rsidRPr="00D9423C">
        <w:rPr>
          <w:rFonts w:ascii="Times New Roman" w:hAnsi="Times New Roman"/>
          <w:lang w:val="pl-PL"/>
        </w:rPr>
        <w:t xml:space="preserve">  </w:t>
      </w:r>
      <w:r w:rsidR="00192AFA" w:rsidRPr="00D9423C">
        <w:rPr>
          <w:rFonts w:ascii="Times New Roman" w:hAnsi="Times New Roman"/>
          <w:lang w:val="pl-PL"/>
        </w:rPr>
        <w:t xml:space="preserve"> </w:t>
      </w:r>
      <w:r w:rsidR="00192AFA" w:rsidRPr="00290D62">
        <w:rPr>
          <w:rFonts w:ascii="Times New Roman" w:hAnsi="Times New Roman"/>
          <w:lang w:val="pl-PL"/>
        </w:rPr>
        <w:t xml:space="preserve">w miejscowości </w:t>
      </w:r>
      <w:bookmarkStart w:id="3" w:name="_Hlk119327002"/>
      <w:r w:rsidR="003134A2">
        <w:rPr>
          <w:rFonts w:ascii="Times New Roman" w:hAnsi="Times New Roman"/>
          <w:lang w:val="pl-PL"/>
        </w:rPr>
        <w:t>Kostomłoty Drugie</w:t>
      </w:r>
      <w:r w:rsidR="00192AFA" w:rsidRPr="00417F9A">
        <w:rPr>
          <w:rFonts w:ascii="Times New Roman" w:hAnsi="Times New Roman"/>
          <w:lang w:val="pl-PL"/>
        </w:rPr>
        <w:t xml:space="preserve"> (obręb 000</w:t>
      </w:r>
      <w:r w:rsidR="003134A2">
        <w:rPr>
          <w:rFonts w:ascii="Times New Roman" w:hAnsi="Times New Roman"/>
          <w:lang w:val="pl-PL"/>
        </w:rPr>
        <w:t>5</w:t>
      </w:r>
      <w:r w:rsidR="00192AFA" w:rsidRPr="00417F9A">
        <w:rPr>
          <w:rFonts w:ascii="Times New Roman" w:hAnsi="Times New Roman"/>
          <w:lang w:val="pl-PL"/>
        </w:rPr>
        <w:t xml:space="preserve">), </w:t>
      </w:r>
      <w:r w:rsidRPr="00417F9A">
        <w:rPr>
          <w:rFonts w:ascii="Times New Roman" w:hAnsi="Times New Roman"/>
          <w:lang w:val="pl-PL"/>
        </w:rPr>
        <w:t>w</w:t>
      </w:r>
      <w:r w:rsidR="00192AFA" w:rsidRPr="00417F9A">
        <w:rPr>
          <w:rFonts w:ascii="Times New Roman" w:hAnsi="Times New Roman"/>
          <w:lang w:val="pl-PL"/>
        </w:rPr>
        <w:t> </w:t>
      </w:r>
      <w:r w:rsidRPr="00417F9A">
        <w:rPr>
          <w:rFonts w:ascii="Times New Roman" w:hAnsi="Times New Roman"/>
          <w:lang w:val="pl-PL"/>
        </w:rPr>
        <w:t xml:space="preserve">gminie </w:t>
      </w:r>
      <w:r w:rsidR="003134A2">
        <w:rPr>
          <w:rFonts w:ascii="Times New Roman" w:hAnsi="Times New Roman"/>
          <w:lang w:val="pl-PL"/>
        </w:rPr>
        <w:t>Miedziana Góra</w:t>
      </w:r>
      <w:r w:rsidRPr="00417F9A">
        <w:rPr>
          <w:rFonts w:ascii="Times New Roman" w:hAnsi="Times New Roman"/>
          <w:lang w:val="pl-PL"/>
        </w:rPr>
        <w:t>, powiecie kieleckim, województwie świętokrzyskim</w:t>
      </w:r>
      <w:bookmarkEnd w:id="3"/>
      <w:r w:rsidRPr="00417F9A">
        <w:rPr>
          <w:rFonts w:ascii="Times New Roman" w:hAnsi="Times New Roman"/>
          <w:lang w:val="pl-PL"/>
        </w:rPr>
        <w:t>.</w:t>
      </w:r>
    </w:p>
    <w:p w14:paraId="04D0DB70" w14:textId="77777777" w:rsidR="00380346" w:rsidRPr="00677ACC" w:rsidRDefault="00380346" w:rsidP="00677ACC">
      <w:pPr>
        <w:pStyle w:val="Akapitzlist"/>
        <w:ind w:left="357"/>
        <w:jc w:val="both"/>
        <w:rPr>
          <w:rFonts w:ascii="Times New Roman" w:hAnsi="Times New Roman"/>
          <w:lang w:val="pl-PL"/>
        </w:rPr>
      </w:pPr>
    </w:p>
    <w:p w14:paraId="5B7F15CD" w14:textId="5C147123" w:rsidR="00380346" w:rsidRPr="0036314C" w:rsidRDefault="00380346" w:rsidP="00380346">
      <w:pPr>
        <w:pStyle w:val="Tekstpodstawowywcit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>Ustalam okres ważn</w:t>
      </w:r>
      <w:r>
        <w:rPr>
          <w:rFonts w:ascii="Times New Roman" w:hAnsi="Times New Roman"/>
          <w:lang w:val="pl-PL"/>
        </w:rPr>
        <w:t xml:space="preserve">ości koncesji do dnia </w:t>
      </w:r>
      <w:r w:rsidR="006C6010">
        <w:rPr>
          <w:rFonts w:ascii="Times New Roman" w:hAnsi="Times New Roman"/>
          <w:color w:val="000000"/>
          <w:lang w:val="pl-PL"/>
        </w:rPr>
        <w:t>31.12.20</w:t>
      </w:r>
      <w:r w:rsidR="009A5441">
        <w:rPr>
          <w:rFonts w:ascii="Times New Roman" w:hAnsi="Times New Roman"/>
          <w:color w:val="000000"/>
          <w:lang w:val="pl-PL"/>
        </w:rPr>
        <w:t>3</w:t>
      </w:r>
      <w:r w:rsidR="00AC7964">
        <w:rPr>
          <w:rFonts w:ascii="Times New Roman" w:hAnsi="Times New Roman"/>
          <w:color w:val="000000"/>
          <w:lang w:val="pl-PL"/>
        </w:rPr>
        <w:t>4</w:t>
      </w:r>
      <w:r w:rsidRPr="00974510">
        <w:rPr>
          <w:rFonts w:ascii="Times New Roman" w:hAnsi="Times New Roman"/>
          <w:color w:val="000000"/>
          <w:lang w:val="pl-PL"/>
        </w:rPr>
        <w:t>r.</w:t>
      </w:r>
      <w:r w:rsidRPr="00D461AE">
        <w:rPr>
          <w:rFonts w:ascii="Times New Roman" w:hAnsi="Times New Roman"/>
          <w:lang w:val="pl-PL"/>
        </w:rPr>
        <w:t xml:space="preserve"> </w:t>
      </w:r>
      <w:r w:rsidR="00D21EF2">
        <w:rPr>
          <w:rFonts w:ascii="Times New Roman" w:hAnsi="Times New Roman"/>
          <w:lang w:val="pl-PL"/>
        </w:rPr>
        <w:t xml:space="preserve">Działalność </w:t>
      </w:r>
      <w:r w:rsidR="00335481">
        <w:rPr>
          <w:rFonts w:ascii="Times New Roman" w:hAnsi="Times New Roman"/>
          <w:lang w:val="pl-PL"/>
        </w:rPr>
        <w:t xml:space="preserve">wydobywcza </w:t>
      </w:r>
      <w:r w:rsidR="00D21EF2">
        <w:rPr>
          <w:rFonts w:ascii="Times New Roman" w:hAnsi="Times New Roman"/>
          <w:lang w:val="pl-PL"/>
        </w:rPr>
        <w:t xml:space="preserve">na złożu </w:t>
      </w:r>
      <w:r w:rsidR="00D21EF2" w:rsidRPr="00410686">
        <w:rPr>
          <w:rFonts w:ascii="Times New Roman" w:hAnsi="Times New Roman"/>
          <w:lang w:val="pl-PL"/>
        </w:rPr>
        <w:t>„</w:t>
      </w:r>
      <w:r w:rsidR="00AC7964">
        <w:rPr>
          <w:rFonts w:ascii="Times New Roman" w:hAnsi="Times New Roman"/>
          <w:lang w:val="pl-PL"/>
        </w:rPr>
        <w:t>Kostomłoty</w:t>
      </w:r>
      <w:r w:rsidR="00D21EF2" w:rsidRPr="00410686">
        <w:rPr>
          <w:rFonts w:ascii="Times New Roman" w:hAnsi="Times New Roman"/>
          <w:lang w:val="pl-PL"/>
        </w:rPr>
        <w:t xml:space="preserve">” </w:t>
      </w:r>
      <w:r w:rsidR="00335481" w:rsidRPr="00410686">
        <w:rPr>
          <w:rFonts w:ascii="Times New Roman" w:hAnsi="Times New Roman"/>
          <w:lang w:val="pl-PL"/>
        </w:rPr>
        <w:t xml:space="preserve">została już rozpoczęta, a </w:t>
      </w:r>
      <w:r w:rsidR="00335481" w:rsidRPr="0036314C">
        <w:rPr>
          <w:rFonts w:ascii="Times New Roman" w:hAnsi="Times New Roman"/>
          <w:lang w:val="pl-PL"/>
        </w:rPr>
        <w:t xml:space="preserve">w zakresie dotyczącym </w:t>
      </w:r>
      <w:r w:rsidR="00210528" w:rsidRPr="0036314C">
        <w:rPr>
          <w:rFonts w:ascii="Times New Roman" w:hAnsi="Times New Roman"/>
          <w:lang w:val="pl-PL"/>
        </w:rPr>
        <w:t>poszerzenia działalności</w:t>
      </w:r>
      <w:r w:rsidR="00335481" w:rsidRPr="0036314C">
        <w:rPr>
          <w:rFonts w:ascii="Times New Roman" w:hAnsi="Times New Roman"/>
          <w:lang w:val="pl-PL"/>
        </w:rPr>
        <w:t>, może zostać rozpoczęta nie wcześniej niż po zatwierdzeniu planu ruchu zakładu górniczego</w:t>
      </w:r>
      <w:r w:rsidR="00ED679C" w:rsidRPr="0036314C">
        <w:rPr>
          <w:rFonts w:ascii="Times New Roman" w:hAnsi="Times New Roman"/>
          <w:lang w:val="pl-PL"/>
        </w:rPr>
        <w:t xml:space="preserve"> </w:t>
      </w:r>
      <w:r w:rsidR="00210528" w:rsidRPr="0036314C">
        <w:rPr>
          <w:rFonts w:ascii="Times New Roman" w:hAnsi="Times New Roman"/>
          <w:lang w:val="pl-PL"/>
        </w:rPr>
        <w:t xml:space="preserve"> w terminie</w:t>
      </w:r>
      <w:r w:rsidR="00CB79C1">
        <w:rPr>
          <w:rFonts w:ascii="Times New Roman" w:hAnsi="Times New Roman"/>
          <w:lang w:val="pl-PL"/>
        </w:rPr>
        <w:t xml:space="preserve"> do</w:t>
      </w:r>
      <w:r w:rsidR="00210528" w:rsidRPr="0036314C">
        <w:rPr>
          <w:rFonts w:ascii="Times New Roman" w:hAnsi="Times New Roman"/>
          <w:lang w:val="pl-PL"/>
        </w:rPr>
        <w:t xml:space="preserve"> </w:t>
      </w:r>
      <w:r w:rsidR="00F363AE">
        <w:rPr>
          <w:rFonts w:ascii="Times New Roman" w:hAnsi="Times New Roman"/>
          <w:lang w:val="pl-PL"/>
        </w:rPr>
        <w:t>24</w:t>
      </w:r>
      <w:r w:rsidR="00210528" w:rsidRPr="0036314C">
        <w:rPr>
          <w:rFonts w:ascii="Times New Roman" w:hAnsi="Times New Roman"/>
          <w:lang w:val="pl-PL"/>
        </w:rPr>
        <w:t xml:space="preserve"> miesięcy od </w:t>
      </w:r>
      <w:r w:rsidR="00410686" w:rsidRPr="0036314C">
        <w:rPr>
          <w:rFonts w:ascii="Times New Roman" w:hAnsi="Times New Roman"/>
          <w:lang w:val="pl-PL"/>
        </w:rPr>
        <w:t xml:space="preserve">stwierdzenia ostateczności </w:t>
      </w:r>
      <w:r w:rsidR="00210528" w:rsidRPr="0036314C">
        <w:rPr>
          <w:rFonts w:ascii="Times New Roman" w:hAnsi="Times New Roman"/>
          <w:lang w:val="pl-PL"/>
        </w:rPr>
        <w:t xml:space="preserve">przedmiotowej </w:t>
      </w:r>
      <w:r w:rsidR="00410686" w:rsidRPr="0036314C">
        <w:rPr>
          <w:rFonts w:ascii="Times New Roman" w:hAnsi="Times New Roman"/>
          <w:lang w:val="pl-PL"/>
        </w:rPr>
        <w:t xml:space="preserve">zmiany </w:t>
      </w:r>
      <w:r w:rsidR="00210528" w:rsidRPr="0036314C">
        <w:rPr>
          <w:rFonts w:ascii="Times New Roman" w:hAnsi="Times New Roman"/>
          <w:lang w:val="pl-PL"/>
        </w:rPr>
        <w:t>koncesji</w:t>
      </w:r>
      <w:r w:rsidR="00ED679C" w:rsidRPr="0036314C">
        <w:rPr>
          <w:rFonts w:ascii="Times New Roman" w:hAnsi="Times New Roman"/>
          <w:lang w:val="pl-PL"/>
        </w:rPr>
        <w:t xml:space="preserve">. </w:t>
      </w:r>
      <w:r w:rsidRPr="0036314C">
        <w:rPr>
          <w:rFonts w:ascii="Times New Roman" w:hAnsi="Times New Roman"/>
          <w:lang w:val="pl-PL"/>
        </w:rPr>
        <w:t xml:space="preserve"> </w:t>
      </w:r>
    </w:p>
    <w:p w14:paraId="35744991" w14:textId="77777777" w:rsidR="00380346" w:rsidRPr="0036314C" w:rsidRDefault="00380346" w:rsidP="00380346">
      <w:pPr>
        <w:jc w:val="both"/>
        <w:rPr>
          <w:rFonts w:ascii="Times New Roman" w:hAnsi="Times New Roman"/>
          <w:lang w:val="pl-PL"/>
        </w:rPr>
      </w:pPr>
    </w:p>
    <w:p w14:paraId="49370F53" w14:textId="74E428D1" w:rsidR="00380346" w:rsidRPr="00FB1F71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FB1F71">
        <w:rPr>
          <w:rFonts w:ascii="Times New Roman" w:hAnsi="Times New Roman"/>
          <w:lang w:val="pl-PL"/>
        </w:rPr>
        <w:t xml:space="preserve">Dla złoża </w:t>
      </w:r>
      <w:r>
        <w:rPr>
          <w:rFonts w:ascii="Times New Roman" w:hAnsi="Times New Roman"/>
          <w:lang w:val="pl-PL"/>
        </w:rPr>
        <w:t xml:space="preserve">wapieni </w:t>
      </w:r>
      <w:r w:rsidR="009A5441">
        <w:rPr>
          <w:rFonts w:ascii="Times New Roman" w:hAnsi="Times New Roman"/>
          <w:lang w:val="pl-PL"/>
        </w:rPr>
        <w:t xml:space="preserve">i dolomitów </w:t>
      </w:r>
      <w:r>
        <w:rPr>
          <w:rFonts w:ascii="Times New Roman" w:hAnsi="Times New Roman"/>
          <w:lang w:val="pl-PL"/>
        </w:rPr>
        <w:t>dewońskich „</w:t>
      </w:r>
      <w:r w:rsidR="00CB79C1">
        <w:rPr>
          <w:rFonts w:ascii="Times New Roman" w:hAnsi="Times New Roman"/>
          <w:lang w:val="pl-PL"/>
        </w:rPr>
        <w:t>Kostomłoty</w:t>
      </w:r>
      <w:r w:rsidRPr="00FB1F71">
        <w:rPr>
          <w:rFonts w:ascii="Times New Roman" w:hAnsi="Times New Roman"/>
          <w:lang w:val="pl-PL"/>
        </w:rPr>
        <w:t>” ustanawiam:</w:t>
      </w:r>
    </w:p>
    <w:p w14:paraId="6053C036" w14:textId="2D1BD50B" w:rsidR="00380346" w:rsidRDefault="00380346" w:rsidP="00380346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7E2922">
        <w:rPr>
          <w:rFonts w:ascii="Times New Roman" w:hAnsi="Times New Roman"/>
          <w:lang w:val="pl-PL"/>
        </w:rPr>
        <w:t xml:space="preserve">obszar górniczy </w:t>
      </w:r>
      <w:r w:rsidRPr="006C73AE">
        <w:rPr>
          <w:rFonts w:ascii="Times New Roman" w:hAnsi="Times New Roman"/>
          <w:b/>
          <w:iCs/>
          <w:lang w:val="pl-PL"/>
        </w:rPr>
        <w:t>„</w:t>
      </w:r>
      <w:r w:rsidR="00C62049">
        <w:rPr>
          <w:rFonts w:ascii="Times New Roman" w:hAnsi="Times New Roman"/>
          <w:b/>
          <w:iCs/>
          <w:lang w:val="pl-PL"/>
        </w:rPr>
        <w:t>Kostomłoty V</w:t>
      </w:r>
      <w:r w:rsidRPr="006C73AE">
        <w:rPr>
          <w:rFonts w:ascii="Times New Roman" w:hAnsi="Times New Roman"/>
          <w:b/>
          <w:iCs/>
          <w:lang w:val="pl-PL"/>
        </w:rPr>
        <w:t>”</w:t>
      </w:r>
      <w:r w:rsidRPr="007E2922">
        <w:rPr>
          <w:rFonts w:ascii="Times New Roman" w:hAnsi="Times New Roman"/>
          <w:lang w:val="pl-PL"/>
        </w:rPr>
        <w:t xml:space="preserve"> o </w:t>
      </w:r>
      <w:r w:rsidRPr="002147D8">
        <w:rPr>
          <w:rFonts w:ascii="Times New Roman" w:hAnsi="Times New Roman"/>
          <w:lang w:val="pl-PL"/>
        </w:rPr>
        <w:t xml:space="preserve">powierzchni </w:t>
      </w:r>
      <w:bookmarkStart w:id="4" w:name="_Hlk113455000"/>
      <w:r w:rsidR="00C62049" w:rsidRPr="002147D8">
        <w:rPr>
          <w:rFonts w:ascii="Times New Roman" w:hAnsi="Times New Roman"/>
          <w:lang w:val="pl-PL"/>
        </w:rPr>
        <w:t>10</w:t>
      </w:r>
      <w:r w:rsidR="00CB79C1">
        <w:rPr>
          <w:rFonts w:ascii="Times New Roman" w:hAnsi="Times New Roman"/>
          <w:lang w:val="pl-PL"/>
        </w:rPr>
        <w:t xml:space="preserve"> ha </w:t>
      </w:r>
      <w:r w:rsidR="00C62049" w:rsidRPr="002147D8">
        <w:rPr>
          <w:rFonts w:ascii="Times New Roman" w:hAnsi="Times New Roman"/>
          <w:lang w:val="pl-PL"/>
        </w:rPr>
        <w:t>8325</w:t>
      </w:r>
      <w:r w:rsidRPr="002147D8">
        <w:rPr>
          <w:rFonts w:ascii="Times New Roman" w:hAnsi="Times New Roman"/>
          <w:lang w:val="pl-PL"/>
        </w:rPr>
        <w:t xml:space="preserve"> </w:t>
      </w:r>
      <w:bookmarkEnd w:id="4"/>
      <w:r w:rsidRPr="00CC0EC7">
        <w:rPr>
          <w:rFonts w:ascii="Times New Roman" w:hAnsi="Times New Roman"/>
          <w:lang w:val="pl-PL"/>
        </w:rPr>
        <w:t>m</w:t>
      </w:r>
      <w:r w:rsidRPr="00CC0EC7">
        <w:rPr>
          <w:rFonts w:ascii="Times New Roman" w:hAnsi="Times New Roman"/>
          <w:vertAlign w:val="superscript"/>
          <w:lang w:val="pl-PL"/>
        </w:rPr>
        <w:t>2</w:t>
      </w:r>
      <w:r w:rsidRPr="007E2922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symbolem „2000” (południk osiowy 21</w:t>
      </w:r>
      <w:r w:rsidRPr="007E2922">
        <w:rPr>
          <w:rFonts w:ascii="Times New Roman" w:hAnsi="Times New Roman"/>
          <w:vertAlign w:val="superscript"/>
          <w:lang w:val="pl-PL"/>
        </w:rPr>
        <w:t>0</w:t>
      </w:r>
      <w:r w:rsidRPr="007E2922">
        <w:rPr>
          <w:rFonts w:ascii="Times New Roman" w:hAnsi="Times New Roman"/>
          <w:lang w:val="pl-PL"/>
        </w:rPr>
        <w:t>):</w:t>
      </w:r>
    </w:p>
    <w:p w14:paraId="0801C863" w14:textId="77777777" w:rsidR="00410686" w:rsidRPr="003624E3" w:rsidRDefault="00410686" w:rsidP="00410686">
      <w:pPr>
        <w:pStyle w:val="Nagwek"/>
        <w:ind w:left="720"/>
        <w:jc w:val="both"/>
        <w:rPr>
          <w:rFonts w:ascii="Times New Roman" w:hAnsi="Times New Roman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380346" w:rsidRPr="00D23514" w14:paraId="257DB122" w14:textId="77777777" w:rsidTr="00107753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7713F9A" w14:textId="77777777" w:rsidR="00380346" w:rsidRPr="0012692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26922">
              <w:rPr>
                <w:rFonts w:ascii="Times New Roman" w:hAnsi="Times New Roman"/>
                <w:i/>
                <w:sz w:val="22"/>
                <w:szCs w:val="22"/>
              </w:rPr>
              <w:t xml:space="preserve">Nr punktu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EA1D547" w14:textId="77777777" w:rsidR="00380346" w:rsidRPr="0012692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126922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017FF8F0" w14:textId="46F2C4F2" w:rsidR="00380346" w:rsidRPr="00126922" w:rsidRDefault="00380346" w:rsidP="00D84A9A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126922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obszaru górniczego </w:t>
            </w:r>
            <w:r w:rsidRPr="00126922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r w:rsidR="00126922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Kostomłoty </w:t>
            </w:r>
            <w:r w:rsidR="00E461E2" w:rsidRPr="00126922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V</w:t>
            </w:r>
            <w:r w:rsidRPr="00126922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380346" w:rsidRPr="00126922" w14:paraId="7FC7B34A" w14:textId="77777777" w:rsidTr="00107753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0123B1" w14:textId="77777777" w:rsidR="00380346" w:rsidRPr="00126922" w:rsidRDefault="00380346" w:rsidP="0076745C">
            <w:pPr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60C3276F" w14:textId="77777777" w:rsidR="00380346" w:rsidRPr="0012692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26922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39CCC5A9" w14:textId="77777777" w:rsidR="00380346" w:rsidRPr="00126922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26922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673876" w:rsidRPr="00126922" w14:paraId="0DB5EDD0" w14:textId="77777777" w:rsidTr="0047264E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</w:tcPr>
          <w:p w14:paraId="2B36285A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57B6D1F2" w14:textId="50124544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5643790,93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1BA1152C" w14:textId="36C67854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7468223,53</w:t>
            </w:r>
          </w:p>
        </w:tc>
      </w:tr>
      <w:tr w:rsidR="00673876" w:rsidRPr="00126922" w14:paraId="550CF9AD" w14:textId="77777777" w:rsidTr="0047264E">
        <w:trPr>
          <w:jc w:val="center"/>
        </w:trPr>
        <w:tc>
          <w:tcPr>
            <w:tcW w:w="1077" w:type="dxa"/>
          </w:tcPr>
          <w:p w14:paraId="1770FA37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bottom"/>
          </w:tcPr>
          <w:p w14:paraId="643BC58D" w14:textId="4A953A88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5643794,43</w:t>
            </w:r>
          </w:p>
        </w:tc>
        <w:tc>
          <w:tcPr>
            <w:tcW w:w="2551" w:type="dxa"/>
            <w:vAlign w:val="bottom"/>
          </w:tcPr>
          <w:p w14:paraId="6416AD8E" w14:textId="66D8B0B1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7468309,58</w:t>
            </w:r>
          </w:p>
        </w:tc>
      </w:tr>
      <w:tr w:rsidR="00673876" w:rsidRPr="00126922" w14:paraId="428912DE" w14:textId="77777777" w:rsidTr="0047264E">
        <w:trPr>
          <w:jc w:val="center"/>
        </w:trPr>
        <w:tc>
          <w:tcPr>
            <w:tcW w:w="1077" w:type="dxa"/>
          </w:tcPr>
          <w:p w14:paraId="6DD33A8F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bottom"/>
          </w:tcPr>
          <w:p w14:paraId="5B7A828C" w14:textId="603E46DD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5643766,01</w:t>
            </w:r>
          </w:p>
        </w:tc>
        <w:tc>
          <w:tcPr>
            <w:tcW w:w="2551" w:type="dxa"/>
            <w:vAlign w:val="bottom"/>
          </w:tcPr>
          <w:p w14:paraId="05EF25C8" w14:textId="11B4B079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7468412,81</w:t>
            </w:r>
          </w:p>
        </w:tc>
      </w:tr>
      <w:tr w:rsidR="00673876" w:rsidRPr="00126922" w14:paraId="762A83E6" w14:textId="77777777" w:rsidTr="0047264E">
        <w:trPr>
          <w:jc w:val="center"/>
        </w:trPr>
        <w:tc>
          <w:tcPr>
            <w:tcW w:w="1077" w:type="dxa"/>
          </w:tcPr>
          <w:p w14:paraId="1FA5A4BE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bottom"/>
          </w:tcPr>
          <w:p w14:paraId="30ADDB8D" w14:textId="2760B21E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5643669,69</w:t>
            </w:r>
          </w:p>
        </w:tc>
        <w:tc>
          <w:tcPr>
            <w:tcW w:w="2551" w:type="dxa"/>
            <w:vAlign w:val="bottom"/>
          </w:tcPr>
          <w:p w14:paraId="18CC717D" w14:textId="1BDC8C6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7468373,28</w:t>
            </w:r>
          </w:p>
        </w:tc>
      </w:tr>
      <w:tr w:rsidR="00673876" w:rsidRPr="00126922" w14:paraId="1A3C3666" w14:textId="77777777" w:rsidTr="0047264E">
        <w:trPr>
          <w:jc w:val="center"/>
        </w:trPr>
        <w:tc>
          <w:tcPr>
            <w:tcW w:w="1077" w:type="dxa"/>
          </w:tcPr>
          <w:p w14:paraId="5813174C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bottom"/>
          </w:tcPr>
          <w:p w14:paraId="6F71AB7A" w14:textId="220E691C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5643660,68</w:t>
            </w:r>
          </w:p>
        </w:tc>
        <w:tc>
          <w:tcPr>
            <w:tcW w:w="2551" w:type="dxa"/>
            <w:vAlign w:val="bottom"/>
          </w:tcPr>
          <w:p w14:paraId="76CC6499" w14:textId="2BE83F49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7468395,55</w:t>
            </w:r>
          </w:p>
        </w:tc>
      </w:tr>
      <w:tr w:rsidR="00673876" w:rsidRPr="00126922" w14:paraId="536A52FC" w14:textId="77777777" w:rsidTr="0047264E">
        <w:trPr>
          <w:jc w:val="center"/>
        </w:trPr>
        <w:tc>
          <w:tcPr>
            <w:tcW w:w="1077" w:type="dxa"/>
            <w:tcBorders>
              <w:bottom w:val="single" w:sz="2" w:space="0" w:color="auto"/>
            </w:tcBorders>
          </w:tcPr>
          <w:p w14:paraId="12FFA16D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14:paraId="73E0992D" w14:textId="6A724148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5643663,83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14:paraId="0A61579A" w14:textId="671C89B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7468396,89</w:t>
            </w:r>
          </w:p>
        </w:tc>
      </w:tr>
      <w:tr w:rsidR="00673876" w:rsidRPr="00126922" w14:paraId="55DACEDB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0FE758C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05A32" w14:textId="30A55AB9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5643655,38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C0FDF1" w14:textId="654EE3CB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7468422,42</w:t>
            </w:r>
          </w:p>
        </w:tc>
      </w:tr>
      <w:tr w:rsidR="00673876" w:rsidRPr="00126922" w14:paraId="57C8DFFE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463E8C43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7C4F9" w14:textId="1052221C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5643645,20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6C6E1C" w14:textId="445C0F49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7468458,59</w:t>
            </w:r>
          </w:p>
        </w:tc>
      </w:tr>
      <w:tr w:rsidR="00673876" w:rsidRPr="00126922" w14:paraId="73E0369F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045F97A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808DDF" w14:textId="5096F2C3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5643634,80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CF619B" w14:textId="00B3499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7468491,83</w:t>
            </w:r>
          </w:p>
        </w:tc>
      </w:tr>
      <w:tr w:rsidR="00673876" w:rsidRPr="00126922" w14:paraId="1875E7F8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B9C5E41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D8E46A" w14:textId="7B3A58A3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5643541,29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BF99A3" w14:textId="01D2C9D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7468453,01</w:t>
            </w:r>
          </w:p>
        </w:tc>
      </w:tr>
      <w:tr w:rsidR="00673876" w:rsidRPr="00126922" w14:paraId="015ABBF3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E50E257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082E3A" w14:textId="7F119B6B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5643463,56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E21C0B" w14:textId="2CF4657F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7468420,83</w:t>
            </w:r>
          </w:p>
        </w:tc>
      </w:tr>
      <w:tr w:rsidR="00673876" w:rsidRPr="00126922" w14:paraId="174CD3D6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0E91440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BA8CDA" w14:textId="43F2516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5643478,80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BA75FB" w14:textId="53508A05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7468382,67</w:t>
            </w:r>
          </w:p>
        </w:tc>
      </w:tr>
      <w:tr w:rsidR="00673876" w:rsidRPr="00126922" w14:paraId="30449E1D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9676E50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FFEE66" w14:textId="4D3527CF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5643513,59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6971EE" w14:textId="7592F14A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7468396,44</w:t>
            </w:r>
          </w:p>
        </w:tc>
      </w:tr>
      <w:tr w:rsidR="00673876" w:rsidRPr="00126922" w14:paraId="1454C5BD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3729287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6C36A2" w14:textId="2002A32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5643491,65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78CCC6" w14:textId="3D8054A8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7468347,46</w:t>
            </w:r>
          </w:p>
        </w:tc>
      </w:tr>
      <w:tr w:rsidR="00673876" w:rsidRPr="00126922" w14:paraId="4A82C4DA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332963D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BA6CF1" w14:textId="50CDBD0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5643469,88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F217AC" w14:textId="338A1C7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7468338,54</w:t>
            </w:r>
          </w:p>
        </w:tc>
      </w:tr>
      <w:tr w:rsidR="00673876" w:rsidRPr="00126922" w14:paraId="317E4534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5C6AED9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2E7189" w14:textId="5179BF2E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5643435,64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C638CF" w14:textId="3E0D0E03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7468325,64</w:t>
            </w:r>
          </w:p>
        </w:tc>
      </w:tr>
      <w:tr w:rsidR="00673876" w:rsidRPr="00126922" w14:paraId="000772DB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431AADD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74CB5C" w14:textId="34FD207B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5643437,33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AA518D" w14:textId="73250A0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7468322,24</w:t>
            </w:r>
          </w:p>
        </w:tc>
      </w:tr>
      <w:tr w:rsidR="00673876" w:rsidRPr="00126922" w14:paraId="6B0F518F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8CDECF0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078190" w14:textId="35A06AE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5643432,64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0258A3" w14:textId="232DFCD8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7468319,52</w:t>
            </w:r>
          </w:p>
        </w:tc>
      </w:tr>
      <w:tr w:rsidR="00673876" w:rsidRPr="00126922" w14:paraId="3CF44191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45B8CDF7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24FAD" w14:textId="44E6346D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5643327,58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777C9D" w14:textId="22A6836E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7468280,03</w:t>
            </w:r>
          </w:p>
        </w:tc>
      </w:tr>
      <w:tr w:rsidR="00673876" w:rsidRPr="00126922" w14:paraId="0EFA1632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018429CE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446AF3" w14:textId="2E36198B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5643391,75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C7BF13" w14:textId="56AE053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7468210,39</w:t>
            </w:r>
          </w:p>
        </w:tc>
      </w:tr>
      <w:tr w:rsidR="00673876" w:rsidRPr="00126922" w14:paraId="07C48D08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2B322AEC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A56066" w14:textId="30AA4691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5643402,17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6FF987" w14:textId="3C01EAE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7468212,36</w:t>
            </w:r>
          </w:p>
        </w:tc>
      </w:tr>
      <w:tr w:rsidR="00673876" w:rsidRPr="00126922" w14:paraId="7EE623B3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A632F58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C08BA" w14:textId="263203AF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5643409,89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87A588" w14:textId="66C22E0C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7468197,44</w:t>
            </w:r>
          </w:p>
        </w:tc>
      </w:tr>
      <w:tr w:rsidR="00673876" w:rsidRPr="00126922" w14:paraId="71CBDF10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DF48D4D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DDA5CF" w14:textId="7ABB881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5643413,12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2E99B8" w14:textId="0E9829A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7468188,20</w:t>
            </w:r>
          </w:p>
        </w:tc>
      </w:tr>
      <w:tr w:rsidR="00673876" w:rsidRPr="00126922" w14:paraId="1BAA6B3F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53963FF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DF8C9" w14:textId="58F0F93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5643442,40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FE3E58" w14:textId="11DEA44D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7468157,80</w:t>
            </w:r>
          </w:p>
        </w:tc>
      </w:tr>
      <w:tr w:rsidR="00673876" w:rsidRPr="00126922" w14:paraId="7D38537E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3E108FB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226EC3" w14:textId="4D8409F8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5643464,72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FFDFC5" w14:textId="766B9283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7468157,69</w:t>
            </w:r>
          </w:p>
        </w:tc>
      </w:tr>
      <w:tr w:rsidR="00673876" w:rsidRPr="00126922" w14:paraId="13365CF1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4E7FB30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C485E" w14:textId="1F25F3C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5643472,10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90EF3A" w14:textId="0CB633F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7468145,14</w:t>
            </w:r>
          </w:p>
        </w:tc>
      </w:tr>
      <w:tr w:rsidR="00673876" w:rsidRPr="00126922" w14:paraId="5778F75F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27983E01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8F6589" w14:textId="6437E025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5643457,29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3702F4" w14:textId="40F1140E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7468142,35</w:t>
            </w:r>
          </w:p>
        </w:tc>
      </w:tr>
      <w:tr w:rsidR="00673876" w:rsidRPr="00126922" w14:paraId="068E1FFC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6B6E235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10FE45" w14:textId="0B9CDF0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5643489,91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F76FF0" w14:textId="45891476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7468108,46</w:t>
            </w:r>
          </w:p>
        </w:tc>
      </w:tr>
      <w:tr w:rsidR="00673876" w:rsidRPr="00126922" w14:paraId="71511B7C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56DB934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66AB47" w14:textId="33056DC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5643499,92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C57CC9" w14:textId="1531507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7468108,51</w:t>
            </w:r>
          </w:p>
        </w:tc>
      </w:tr>
      <w:tr w:rsidR="00673876" w:rsidRPr="00126922" w14:paraId="37ABDBBF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4F985689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3CB497" w14:textId="1FD6CDB4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5643509,95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E8D123" w14:textId="688094E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7468097,69</w:t>
            </w:r>
          </w:p>
        </w:tc>
      </w:tr>
      <w:tr w:rsidR="00673876" w:rsidRPr="00126922" w14:paraId="202B89BB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719F26C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75F061" w14:textId="51159804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5643520,30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93763A" w14:textId="7041F90A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7468097,18</w:t>
            </w:r>
          </w:p>
        </w:tc>
      </w:tr>
      <w:tr w:rsidR="00673876" w:rsidRPr="00126922" w14:paraId="1BCB2F8B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414F8BAC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E1CEE" w14:textId="317A3AB4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5643562,04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9888F6" w14:textId="3BFC8D6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7468107,25</w:t>
            </w:r>
          </w:p>
        </w:tc>
      </w:tr>
      <w:tr w:rsidR="00673876" w:rsidRPr="00126922" w14:paraId="28CE8269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CEBA9BB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DB5AA7" w14:textId="3F501F8A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5643646,84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318BD7" w14:textId="6FFE8F90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7468125,05</w:t>
            </w:r>
          </w:p>
        </w:tc>
      </w:tr>
      <w:tr w:rsidR="00673876" w:rsidRPr="00126922" w14:paraId="4EA6CCAF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56DBEAE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38C618" w14:textId="27956AA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5643682,64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1458FD" w14:textId="0B9901BF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7468132,34</w:t>
            </w:r>
          </w:p>
        </w:tc>
      </w:tr>
      <w:tr w:rsidR="00673876" w:rsidRPr="00126922" w14:paraId="1DFED7B7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0072931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431EA" w14:textId="6A752BE1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5643729,50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BBB440" w14:textId="129EB4EE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7468142,41</w:t>
            </w:r>
          </w:p>
        </w:tc>
      </w:tr>
      <w:tr w:rsidR="00673876" w:rsidRPr="00126922" w14:paraId="6379F963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4A64080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05511C" w14:textId="3EDF080F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5643746,91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055426" w14:textId="2A4111B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7468147,63</w:t>
            </w:r>
          </w:p>
        </w:tc>
      </w:tr>
      <w:tr w:rsidR="00673876" w:rsidRPr="00126922" w14:paraId="01CC9AD1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9614506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A1CCE7" w14:textId="53809EFC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5643753,67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3E6599" w14:textId="67EFED4E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7468153,78</w:t>
            </w:r>
          </w:p>
        </w:tc>
      </w:tr>
      <w:tr w:rsidR="00673876" w:rsidRPr="00126922" w14:paraId="2CA351F1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215BFDB3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20713A" w14:textId="2B3D9FB5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5643753,98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A4AD91" w14:textId="769290DC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7468167,08</w:t>
            </w:r>
          </w:p>
        </w:tc>
      </w:tr>
      <w:tr w:rsidR="00673876" w:rsidRPr="00126922" w14:paraId="1E1B3BAD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08B6238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43C5C0" w14:textId="082EE573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5643747,95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063490" w14:textId="4C3F3BB3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7468189,38</w:t>
            </w:r>
          </w:p>
        </w:tc>
      </w:tr>
      <w:tr w:rsidR="00673876" w:rsidRPr="00126922" w14:paraId="6E93AED6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5CD1AA4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83C14B" w14:textId="6F0E9167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5643740,96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9B5187" w14:textId="4C3F763D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7468203,26</w:t>
            </w:r>
          </w:p>
        </w:tc>
      </w:tr>
      <w:tr w:rsidR="00673876" w:rsidRPr="00126922" w14:paraId="17CEC5B3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2A73F41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326FA9" w14:textId="75D57302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5643756,97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F29870" w14:textId="4E24D625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7468209,32</w:t>
            </w:r>
          </w:p>
        </w:tc>
      </w:tr>
      <w:tr w:rsidR="00673876" w:rsidRPr="00126922" w14:paraId="53DA0734" w14:textId="77777777" w:rsidTr="0047264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28322AA" w14:textId="77777777" w:rsidR="00673876" w:rsidRPr="00126922" w:rsidRDefault="00673876" w:rsidP="00673876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D5CE44" w14:textId="61698171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5643776,60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56DFF1" w14:textId="0081A4F8" w:rsidR="00673876" w:rsidRPr="00126922" w:rsidRDefault="00673876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922">
              <w:rPr>
                <w:rFonts w:ascii="Times New Roman" w:hAnsi="Times New Roman"/>
                <w:sz w:val="22"/>
                <w:szCs w:val="22"/>
              </w:rPr>
              <w:t>7468216,72</w:t>
            </w:r>
          </w:p>
        </w:tc>
      </w:tr>
    </w:tbl>
    <w:p w14:paraId="08C82D03" w14:textId="0E89DE1B" w:rsidR="00882F16" w:rsidRPr="006541D4" w:rsidRDefault="006F22BD" w:rsidP="00410686">
      <w:pPr>
        <w:pStyle w:val="Nagwek"/>
        <w:spacing w:before="120"/>
        <w:jc w:val="both"/>
        <w:rPr>
          <w:rFonts w:ascii="Times New Roman" w:hAnsi="Times New Roman"/>
          <w:lang w:val="pl-PL"/>
        </w:rPr>
      </w:pPr>
      <w:r w:rsidRPr="00CD133A">
        <w:rPr>
          <w:rFonts w:ascii="Times New Roman" w:hAnsi="Times New Roman"/>
          <w:lang w:val="pl-PL"/>
        </w:rPr>
        <w:tab/>
      </w:r>
      <w:r w:rsidR="00126922" w:rsidRPr="00126922">
        <w:rPr>
          <w:rFonts w:ascii="Times New Roman" w:hAnsi="Times New Roman"/>
          <w:lang w:val="pl-PL"/>
        </w:rPr>
        <w:t>Dolną granicę obszaru górniczego „</w:t>
      </w:r>
      <w:r w:rsidR="00126922" w:rsidRPr="00126922">
        <w:rPr>
          <w:rFonts w:ascii="Times New Roman" w:hAnsi="Times New Roman"/>
          <w:b/>
          <w:bCs/>
          <w:lang w:val="pl-PL"/>
        </w:rPr>
        <w:t>Kostomłoty</w:t>
      </w:r>
      <w:r w:rsidR="00126922" w:rsidRPr="00126922">
        <w:rPr>
          <w:rFonts w:ascii="Times New Roman" w:hAnsi="Times New Roman"/>
          <w:lang w:val="pl-PL"/>
        </w:rPr>
        <w:t xml:space="preserve"> </w:t>
      </w:r>
      <w:r w:rsidR="00126922" w:rsidRPr="00126922">
        <w:rPr>
          <w:rFonts w:ascii="Times New Roman" w:hAnsi="Times New Roman"/>
          <w:b/>
          <w:bCs/>
          <w:lang w:val="pl-PL"/>
        </w:rPr>
        <w:t>V</w:t>
      </w:r>
      <w:r w:rsidR="00126922" w:rsidRPr="00126922">
        <w:rPr>
          <w:rFonts w:ascii="Times New Roman" w:hAnsi="Times New Roman"/>
          <w:lang w:val="pl-PL"/>
        </w:rPr>
        <w:t>” wyznacza rzędn</w:t>
      </w:r>
      <w:r w:rsidR="0036314C">
        <w:rPr>
          <w:rFonts w:ascii="Times New Roman" w:hAnsi="Times New Roman"/>
          <w:lang w:val="pl-PL"/>
        </w:rPr>
        <w:t>a</w:t>
      </w:r>
      <w:r w:rsidR="00126922" w:rsidRPr="00126922">
        <w:rPr>
          <w:rFonts w:ascii="Times New Roman" w:hAnsi="Times New Roman"/>
          <w:lang w:val="pl-PL"/>
        </w:rPr>
        <w:t xml:space="preserve"> +2</w:t>
      </w:r>
      <w:r w:rsidR="00126922">
        <w:rPr>
          <w:rFonts w:ascii="Times New Roman" w:hAnsi="Times New Roman"/>
          <w:lang w:val="pl-PL"/>
        </w:rPr>
        <w:t xml:space="preserve">22 </w:t>
      </w:r>
      <w:r w:rsidR="00126922" w:rsidRPr="00126922">
        <w:rPr>
          <w:rFonts w:ascii="Times New Roman" w:hAnsi="Times New Roman"/>
          <w:lang w:val="pl-PL"/>
        </w:rPr>
        <w:t>m n.p.m.</w:t>
      </w:r>
      <w:r w:rsidR="00882F16" w:rsidRPr="006541D4">
        <w:rPr>
          <w:rFonts w:ascii="Times New Roman" w:hAnsi="Times New Roman"/>
          <w:lang w:val="pl-PL"/>
        </w:rPr>
        <w:t>.</w:t>
      </w:r>
    </w:p>
    <w:p w14:paraId="02738F01" w14:textId="77777777" w:rsidR="00380346" w:rsidRPr="006541D4" w:rsidRDefault="00882F16" w:rsidP="00380346">
      <w:pPr>
        <w:pStyle w:val="Nagwek"/>
        <w:jc w:val="both"/>
        <w:rPr>
          <w:rFonts w:ascii="Times New Roman" w:hAnsi="Times New Roman"/>
          <w:lang w:val="pl-PL"/>
        </w:rPr>
      </w:pPr>
      <w:r w:rsidRPr="006541D4">
        <w:rPr>
          <w:rFonts w:ascii="Times New Roman" w:hAnsi="Times New Roman"/>
          <w:lang w:val="pl-PL"/>
        </w:rPr>
        <w:t xml:space="preserve"> </w:t>
      </w:r>
    </w:p>
    <w:p w14:paraId="2641D4B5" w14:textId="1E2C1AD6" w:rsidR="00380346" w:rsidRDefault="00380346" w:rsidP="00380346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6541D4">
        <w:rPr>
          <w:rFonts w:ascii="Times New Roman" w:hAnsi="Times New Roman"/>
          <w:lang w:val="pl-PL"/>
        </w:rPr>
        <w:t xml:space="preserve">teren górniczy </w:t>
      </w:r>
      <w:r w:rsidRPr="006541D4">
        <w:rPr>
          <w:rFonts w:ascii="Times New Roman" w:hAnsi="Times New Roman"/>
          <w:b/>
          <w:iCs/>
          <w:lang w:val="pl-PL"/>
        </w:rPr>
        <w:t>„</w:t>
      </w:r>
      <w:r w:rsidR="00126922" w:rsidRPr="00126922">
        <w:rPr>
          <w:rFonts w:ascii="Times New Roman" w:hAnsi="Times New Roman"/>
          <w:b/>
          <w:bCs/>
          <w:lang w:val="pl-PL"/>
        </w:rPr>
        <w:t>Kostomłoty</w:t>
      </w:r>
      <w:r w:rsidR="00126922" w:rsidRPr="00126922">
        <w:rPr>
          <w:rFonts w:ascii="Times New Roman" w:hAnsi="Times New Roman"/>
          <w:lang w:val="pl-PL"/>
        </w:rPr>
        <w:t xml:space="preserve"> </w:t>
      </w:r>
      <w:r w:rsidR="00126922" w:rsidRPr="00126922">
        <w:rPr>
          <w:rFonts w:ascii="Times New Roman" w:hAnsi="Times New Roman"/>
          <w:b/>
          <w:bCs/>
          <w:lang w:val="pl-PL"/>
        </w:rPr>
        <w:t>V</w:t>
      </w:r>
      <w:r w:rsidRPr="006541D4">
        <w:rPr>
          <w:rFonts w:ascii="Times New Roman" w:hAnsi="Times New Roman"/>
          <w:b/>
          <w:iCs/>
          <w:lang w:val="pl-PL"/>
        </w:rPr>
        <w:t>”</w:t>
      </w:r>
      <w:r w:rsidRPr="006541D4">
        <w:rPr>
          <w:rFonts w:ascii="Times New Roman" w:hAnsi="Times New Roman"/>
          <w:lang w:val="pl-PL"/>
        </w:rPr>
        <w:t xml:space="preserve"> o powierzchni </w:t>
      </w:r>
      <w:bookmarkStart w:id="5" w:name="_Hlk113455036"/>
      <w:r w:rsidR="00126922" w:rsidRPr="009C5A7A">
        <w:rPr>
          <w:rFonts w:ascii="Times New Roman" w:hAnsi="Times New Roman"/>
          <w:lang w:val="pl-PL"/>
        </w:rPr>
        <w:t>118</w:t>
      </w:r>
      <w:r w:rsidR="00CB79C1" w:rsidRPr="009C5A7A">
        <w:rPr>
          <w:rFonts w:ascii="Times New Roman" w:hAnsi="Times New Roman"/>
          <w:lang w:val="pl-PL"/>
        </w:rPr>
        <w:t xml:space="preserve"> ha </w:t>
      </w:r>
      <w:r w:rsidR="00126922" w:rsidRPr="009C5A7A">
        <w:rPr>
          <w:rFonts w:ascii="Times New Roman" w:hAnsi="Times New Roman"/>
          <w:lang w:val="pl-PL"/>
        </w:rPr>
        <w:t>737</w:t>
      </w:r>
      <w:r w:rsidR="00CB79C1" w:rsidRPr="009C5A7A">
        <w:rPr>
          <w:rFonts w:ascii="Times New Roman" w:hAnsi="Times New Roman"/>
          <w:lang w:val="pl-PL"/>
        </w:rPr>
        <w:t>5</w:t>
      </w:r>
      <w:r w:rsidR="00126922" w:rsidRPr="009C5A7A">
        <w:rPr>
          <w:rFonts w:ascii="Times New Roman" w:hAnsi="Times New Roman"/>
          <w:lang w:val="pl-PL"/>
        </w:rPr>
        <w:t xml:space="preserve"> </w:t>
      </w:r>
      <w:bookmarkEnd w:id="5"/>
      <w:r w:rsidRPr="006541D4">
        <w:rPr>
          <w:rFonts w:ascii="Times New Roman" w:hAnsi="Times New Roman"/>
          <w:lang w:val="pl-PL"/>
        </w:rPr>
        <w:t>m</w:t>
      </w:r>
      <w:r w:rsidRPr="006541D4">
        <w:rPr>
          <w:rFonts w:ascii="Times New Roman" w:hAnsi="Times New Roman"/>
          <w:vertAlign w:val="superscript"/>
          <w:lang w:val="pl-PL"/>
        </w:rPr>
        <w:t>2</w:t>
      </w:r>
      <w:r w:rsidRPr="006541D4">
        <w:rPr>
          <w:rFonts w:ascii="Times New Roman" w:hAnsi="Times New Roman"/>
          <w:lang w:val="pl-PL"/>
        </w:rPr>
        <w:t>, którego granice</w:t>
      </w:r>
      <w:r w:rsidRPr="00E73961">
        <w:rPr>
          <w:rFonts w:ascii="Times New Roman" w:hAnsi="Times New Roman"/>
          <w:lang w:val="pl-PL"/>
        </w:rPr>
        <w:t xml:space="preserve"> wyznaczają linie łączące punkty o następujących współrzędnych w układzie współrzędnych płaskich prostokątnych oznaczonych symbolem „2000” (południk osiowy 21</w:t>
      </w:r>
      <w:r w:rsidRPr="00E73961">
        <w:rPr>
          <w:rFonts w:ascii="Times New Roman" w:hAnsi="Times New Roman"/>
          <w:vertAlign w:val="superscript"/>
          <w:lang w:val="pl-PL"/>
        </w:rPr>
        <w:t>0</w:t>
      </w:r>
      <w:r w:rsidRPr="00E73961">
        <w:rPr>
          <w:rFonts w:ascii="Times New Roman" w:hAnsi="Times New Roman"/>
          <w:lang w:val="pl-PL"/>
        </w:rPr>
        <w:t>):</w:t>
      </w:r>
    </w:p>
    <w:p w14:paraId="4689F833" w14:textId="77777777" w:rsidR="00410686" w:rsidRPr="00E73961" w:rsidRDefault="00410686" w:rsidP="00410686">
      <w:pPr>
        <w:pStyle w:val="Nagwek"/>
        <w:ind w:left="720"/>
        <w:jc w:val="both"/>
        <w:rPr>
          <w:rFonts w:ascii="Times New Roman" w:hAnsi="Times New Roman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380346" w:rsidRPr="00D23514" w14:paraId="124C1B7A" w14:textId="77777777" w:rsidTr="00882F16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03A235" w14:textId="77777777" w:rsidR="00380346" w:rsidRPr="007135EF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135EF">
              <w:rPr>
                <w:rFonts w:ascii="Times New Roman" w:hAnsi="Times New Roman"/>
                <w:i/>
                <w:sz w:val="22"/>
                <w:szCs w:val="22"/>
              </w:rPr>
              <w:t>Nr punk</w:t>
            </w:r>
            <w:r w:rsidR="00BC5A2F" w:rsidRPr="007135EF">
              <w:rPr>
                <w:rFonts w:ascii="Times New Roman" w:hAnsi="Times New Roman"/>
                <w:i/>
                <w:sz w:val="22"/>
                <w:szCs w:val="22"/>
              </w:rPr>
              <w:t>tu</w:t>
            </w:r>
            <w:r w:rsidRPr="007135E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4729163" w14:textId="77777777" w:rsidR="00380346" w:rsidRPr="007135EF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7135EF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7A405D66" w14:textId="62ED14F9" w:rsidR="00380346" w:rsidRPr="007135EF" w:rsidRDefault="00380346" w:rsidP="006F22BD">
            <w:pPr>
              <w:pStyle w:val="Nagwek"/>
              <w:tabs>
                <w:tab w:val="left" w:pos="708"/>
                <w:tab w:val="left" w:pos="2482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7135EF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terenu górniczego </w:t>
            </w:r>
            <w:r w:rsidRPr="007135EF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r w:rsidR="00A70518" w:rsidRPr="007135EF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Kostomłoty</w:t>
            </w:r>
            <w:r w:rsidR="00882F16" w:rsidRPr="007135EF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 V</w:t>
            </w:r>
            <w:r w:rsidRPr="007135EF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380346" w:rsidRPr="007135EF" w14:paraId="7AE7DF5F" w14:textId="77777777" w:rsidTr="00882F16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CC6CFE5" w14:textId="77777777" w:rsidR="00380346" w:rsidRPr="007135EF" w:rsidRDefault="00380346" w:rsidP="0076745C">
            <w:pPr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42223CFD" w14:textId="77777777" w:rsidR="00380346" w:rsidRPr="007135EF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135EF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368A839D" w14:textId="77777777" w:rsidR="00380346" w:rsidRPr="007135EF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135EF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126922" w:rsidRPr="007135EF" w14:paraId="2F441CCE" w14:textId="77777777" w:rsidTr="00A14345">
        <w:trPr>
          <w:jc w:val="center"/>
        </w:trPr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2C712857" w14:textId="42DAD3AE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C254995" w14:textId="371FF218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5643943,73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D84808B" w14:textId="4D08C8A5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7467751,13</w:t>
            </w:r>
          </w:p>
        </w:tc>
      </w:tr>
      <w:tr w:rsidR="00126922" w:rsidRPr="007135EF" w14:paraId="1C5DE091" w14:textId="77777777" w:rsidTr="00A14345">
        <w:trPr>
          <w:jc w:val="center"/>
        </w:trPr>
        <w:tc>
          <w:tcPr>
            <w:tcW w:w="1077" w:type="dxa"/>
            <w:tcBorders>
              <w:top w:val="single" w:sz="2" w:space="0" w:color="auto"/>
            </w:tcBorders>
            <w:vAlign w:val="bottom"/>
          </w:tcPr>
          <w:p w14:paraId="6311C92D" w14:textId="3E29F70F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bottom"/>
          </w:tcPr>
          <w:p w14:paraId="3C5FA1FC" w14:textId="3DD7AC3D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5644206,15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bottom"/>
          </w:tcPr>
          <w:p w14:paraId="3BD603D5" w14:textId="53D64F3D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7468171,90</w:t>
            </w:r>
          </w:p>
        </w:tc>
      </w:tr>
      <w:tr w:rsidR="00126922" w:rsidRPr="007135EF" w14:paraId="70006BD1" w14:textId="77777777" w:rsidTr="00A14345">
        <w:trPr>
          <w:jc w:val="center"/>
        </w:trPr>
        <w:tc>
          <w:tcPr>
            <w:tcW w:w="1077" w:type="dxa"/>
            <w:vAlign w:val="bottom"/>
          </w:tcPr>
          <w:p w14:paraId="587CDA83" w14:textId="326C1DA3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1" w:type="dxa"/>
            <w:vAlign w:val="bottom"/>
          </w:tcPr>
          <w:p w14:paraId="48D7CA80" w14:textId="0C2D323A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5644094,18</w:t>
            </w:r>
          </w:p>
        </w:tc>
        <w:tc>
          <w:tcPr>
            <w:tcW w:w="2551" w:type="dxa"/>
            <w:vAlign w:val="bottom"/>
          </w:tcPr>
          <w:p w14:paraId="19807475" w14:textId="598FE941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7468654,99</w:t>
            </w:r>
          </w:p>
        </w:tc>
      </w:tr>
      <w:tr w:rsidR="00126922" w:rsidRPr="007135EF" w14:paraId="536593EB" w14:textId="77777777" w:rsidTr="00A14345">
        <w:trPr>
          <w:jc w:val="center"/>
        </w:trPr>
        <w:tc>
          <w:tcPr>
            <w:tcW w:w="1077" w:type="dxa"/>
            <w:vAlign w:val="bottom"/>
          </w:tcPr>
          <w:p w14:paraId="5B351D6C" w14:textId="380D19CB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51" w:type="dxa"/>
            <w:vAlign w:val="bottom"/>
          </w:tcPr>
          <w:p w14:paraId="1FB692AD" w14:textId="376D30F2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5643673,41</w:t>
            </w:r>
          </w:p>
        </w:tc>
        <w:tc>
          <w:tcPr>
            <w:tcW w:w="2551" w:type="dxa"/>
            <w:vAlign w:val="bottom"/>
          </w:tcPr>
          <w:p w14:paraId="3A25B38A" w14:textId="343B3C29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7468917,41</w:t>
            </w:r>
          </w:p>
        </w:tc>
      </w:tr>
      <w:tr w:rsidR="00126922" w:rsidRPr="007135EF" w14:paraId="7BDE9D34" w14:textId="77777777" w:rsidTr="00A14345">
        <w:trPr>
          <w:jc w:val="center"/>
        </w:trPr>
        <w:tc>
          <w:tcPr>
            <w:tcW w:w="1077" w:type="dxa"/>
            <w:tcBorders>
              <w:bottom w:val="single" w:sz="2" w:space="0" w:color="auto"/>
            </w:tcBorders>
            <w:vAlign w:val="bottom"/>
          </w:tcPr>
          <w:p w14:paraId="7AE86F97" w14:textId="44C51DA4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14:paraId="420DF029" w14:textId="2E60B4EC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5643190,32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14:paraId="2BC33BEC" w14:textId="3E85695E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7468805,44</w:t>
            </w:r>
          </w:p>
        </w:tc>
      </w:tr>
      <w:tr w:rsidR="00126922" w:rsidRPr="007135EF" w14:paraId="6BBCB279" w14:textId="77777777" w:rsidTr="00A14345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41D73E" w14:textId="6015FB71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EB2909" w14:textId="546C5307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5642927,90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920AFF" w14:textId="329F8C3C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7468384,67</w:t>
            </w:r>
          </w:p>
        </w:tc>
      </w:tr>
      <w:tr w:rsidR="00126922" w:rsidRPr="007135EF" w14:paraId="59FDEE14" w14:textId="77777777" w:rsidTr="00A14345">
        <w:trPr>
          <w:jc w:val="center"/>
        </w:trPr>
        <w:tc>
          <w:tcPr>
            <w:tcW w:w="1077" w:type="dxa"/>
            <w:tcBorders>
              <w:top w:val="single" w:sz="2" w:space="0" w:color="auto"/>
            </w:tcBorders>
            <w:vAlign w:val="bottom"/>
          </w:tcPr>
          <w:p w14:paraId="4117C3FE" w14:textId="2C2996B3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bottom"/>
          </w:tcPr>
          <w:p w14:paraId="47C6C0D0" w14:textId="263F5B6D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5643039,87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bottom"/>
          </w:tcPr>
          <w:p w14:paraId="2EDFC7BA" w14:textId="7A20FD11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7467901,58</w:t>
            </w:r>
          </w:p>
        </w:tc>
      </w:tr>
      <w:tr w:rsidR="00126922" w:rsidRPr="007135EF" w14:paraId="2EE45355" w14:textId="77777777" w:rsidTr="00A14345">
        <w:trPr>
          <w:jc w:val="center"/>
        </w:trPr>
        <w:tc>
          <w:tcPr>
            <w:tcW w:w="1077" w:type="dxa"/>
            <w:vAlign w:val="bottom"/>
          </w:tcPr>
          <w:p w14:paraId="7DA3685A" w14:textId="3F4766D9" w:rsidR="00126922" w:rsidRPr="007135EF" w:rsidRDefault="00126922" w:rsidP="00126922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bottom"/>
          </w:tcPr>
          <w:p w14:paraId="00E744E7" w14:textId="370F675B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5643460,64</w:t>
            </w:r>
          </w:p>
        </w:tc>
        <w:tc>
          <w:tcPr>
            <w:tcW w:w="2551" w:type="dxa"/>
            <w:vAlign w:val="bottom"/>
          </w:tcPr>
          <w:p w14:paraId="434AFD4D" w14:textId="51A1BF08" w:rsidR="00126922" w:rsidRPr="007135EF" w:rsidRDefault="00126922" w:rsidP="00126922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5EF">
              <w:rPr>
                <w:rFonts w:ascii="Times New Roman" w:hAnsi="Times New Roman"/>
                <w:color w:val="000000"/>
                <w:sz w:val="22"/>
                <w:szCs w:val="22"/>
              </w:rPr>
              <w:t>7467639,16</w:t>
            </w:r>
          </w:p>
        </w:tc>
      </w:tr>
    </w:tbl>
    <w:p w14:paraId="5238431A" w14:textId="61AA3159" w:rsidR="00380346" w:rsidRPr="00D461AE" w:rsidRDefault="00380346" w:rsidP="00410686">
      <w:pPr>
        <w:pStyle w:val="Nagwek"/>
        <w:tabs>
          <w:tab w:val="left" w:pos="708"/>
        </w:tabs>
        <w:spacing w:before="120"/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lastRenderedPageBreak/>
        <w:t xml:space="preserve">Granice obszaru górniczego i terenu górniczego </w:t>
      </w:r>
      <w:r w:rsidRPr="006C73AE">
        <w:rPr>
          <w:rFonts w:ascii="Times New Roman" w:hAnsi="Times New Roman"/>
          <w:b/>
          <w:iCs/>
          <w:lang w:val="pl-PL"/>
        </w:rPr>
        <w:t>„</w:t>
      </w:r>
      <w:r w:rsidR="00CB36ED">
        <w:rPr>
          <w:rFonts w:ascii="Times New Roman" w:hAnsi="Times New Roman"/>
          <w:b/>
          <w:iCs/>
          <w:lang w:val="pl-PL"/>
        </w:rPr>
        <w:t>Kostomłoty V</w:t>
      </w:r>
      <w:r w:rsidRPr="006C73AE">
        <w:rPr>
          <w:rFonts w:ascii="Times New Roman" w:hAnsi="Times New Roman"/>
          <w:b/>
          <w:iCs/>
          <w:lang w:val="pl-PL"/>
        </w:rPr>
        <w:t>”</w:t>
      </w:r>
      <w:r w:rsidRPr="00D461AE">
        <w:rPr>
          <w:rFonts w:ascii="Times New Roman" w:hAnsi="Times New Roman"/>
          <w:lang w:val="pl-PL"/>
        </w:rPr>
        <w:t xml:space="preserve"> przedstawione są na mapie </w:t>
      </w:r>
      <w:r w:rsidR="00F9295B">
        <w:rPr>
          <w:rFonts w:ascii="Times New Roman" w:hAnsi="Times New Roman"/>
          <w:lang w:val="pl-PL"/>
        </w:rPr>
        <w:t>sytuacyjno – wysokościowej w skali 1:2 000</w:t>
      </w:r>
      <w:r w:rsidRPr="00D461AE">
        <w:rPr>
          <w:rFonts w:ascii="Times New Roman" w:hAnsi="Times New Roman"/>
          <w:lang w:val="pl-PL"/>
        </w:rPr>
        <w:t>, stanowiącej załącznik do niniejszej decyzji.</w:t>
      </w:r>
    </w:p>
    <w:p w14:paraId="53732293" w14:textId="77777777" w:rsidR="00380346" w:rsidRPr="00D461AE" w:rsidRDefault="00D41FE7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</w:p>
    <w:p w14:paraId="030241FD" w14:textId="3D0563D4" w:rsidR="00380346" w:rsidRPr="00DF63C8" w:rsidRDefault="00380346" w:rsidP="00A709CB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8606E">
        <w:rPr>
          <w:rFonts w:ascii="Times New Roman" w:hAnsi="Times New Roman"/>
          <w:color w:val="000000"/>
          <w:sz w:val="24"/>
          <w:szCs w:val="24"/>
          <w:lang w:val="pl-PL"/>
        </w:rPr>
        <w:t>Zasoby przemysłowe złoża „</w:t>
      </w:r>
      <w:r w:rsidR="00902EBB">
        <w:rPr>
          <w:rFonts w:ascii="Times New Roman" w:hAnsi="Times New Roman"/>
          <w:color w:val="000000"/>
          <w:sz w:val="24"/>
          <w:szCs w:val="24"/>
          <w:lang w:val="pl-PL"/>
        </w:rPr>
        <w:t>Kostomłoty</w:t>
      </w:r>
      <w:r w:rsidR="006E0487" w:rsidRPr="0058606E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Pr="0058606E">
        <w:rPr>
          <w:rFonts w:ascii="Times New Roman" w:hAnsi="Times New Roman"/>
          <w:color w:val="000000"/>
          <w:sz w:val="24"/>
          <w:szCs w:val="24"/>
          <w:lang w:val="pl-PL"/>
        </w:rPr>
        <w:t xml:space="preserve"> ustalone w granicach obszaru górniczego </w:t>
      </w:r>
      <w:r w:rsidRPr="0058606E">
        <w:rPr>
          <w:rFonts w:ascii="Times New Roman" w:hAnsi="Times New Roman"/>
          <w:iCs/>
          <w:color w:val="000000"/>
          <w:sz w:val="24"/>
          <w:szCs w:val="24"/>
          <w:lang w:val="pl-PL"/>
        </w:rPr>
        <w:t>„</w:t>
      </w:r>
      <w:r w:rsidR="00902EBB">
        <w:rPr>
          <w:rFonts w:ascii="Times New Roman" w:hAnsi="Times New Roman"/>
          <w:iCs/>
          <w:color w:val="000000"/>
          <w:sz w:val="24"/>
          <w:szCs w:val="24"/>
          <w:lang w:val="pl-PL"/>
        </w:rPr>
        <w:t>Kostomłoty</w:t>
      </w:r>
      <w:r w:rsidR="006C73AE" w:rsidRPr="0058606E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 V</w:t>
      </w:r>
      <w:r w:rsidRPr="0058606E"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="0063676A" w:rsidRPr="0058606E">
        <w:rPr>
          <w:rFonts w:ascii="Times New Roman" w:hAnsi="Times New Roman"/>
          <w:color w:val="000000"/>
          <w:sz w:val="24"/>
          <w:szCs w:val="24"/>
          <w:lang w:val="pl-PL"/>
        </w:rPr>
        <w:t xml:space="preserve"> na dzień 31.12.20</w:t>
      </w:r>
      <w:r w:rsidR="006D3CB0">
        <w:rPr>
          <w:rFonts w:ascii="Times New Roman" w:hAnsi="Times New Roman"/>
          <w:color w:val="000000"/>
          <w:sz w:val="24"/>
          <w:szCs w:val="24"/>
          <w:lang w:val="pl-PL"/>
        </w:rPr>
        <w:t>21</w:t>
      </w:r>
      <w:r w:rsidRPr="0058606E">
        <w:rPr>
          <w:rFonts w:ascii="Times New Roman" w:hAnsi="Times New Roman"/>
          <w:color w:val="000000"/>
          <w:sz w:val="24"/>
          <w:szCs w:val="24"/>
          <w:lang w:val="pl-PL"/>
        </w:rPr>
        <w:t xml:space="preserve">r. </w:t>
      </w:r>
      <w:r w:rsidRPr="00DF63C8">
        <w:rPr>
          <w:rFonts w:ascii="Times New Roman" w:hAnsi="Times New Roman"/>
          <w:sz w:val="24"/>
          <w:szCs w:val="24"/>
          <w:lang w:val="pl-PL"/>
        </w:rPr>
        <w:t>wynoszą</w:t>
      </w:r>
      <w:r w:rsidR="00236D8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C459A">
        <w:rPr>
          <w:rFonts w:ascii="Times New Roman" w:hAnsi="Times New Roman"/>
          <w:sz w:val="24"/>
          <w:szCs w:val="24"/>
          <w:lang w:val="pl-PL"/>
        </w:rPr>
        <w:t>6 508,34</w:t>
      </w:r>
      <w:r w:rsidR="00EC459A" w:rsidRPr="00DF63C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F63C8">
        <w:rPr>
          <w:rFonts w:ascii="Times New Roman" w:hAnsi="Times New Roman"/>
          <w:sz w:val="24"/>
          <w:szCs w:val="24"/>
          <w:lang w:val="pl-PL"/>
        </w:rPr>
        <w:t>tys. t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 xml:space="preserve"> wapieni – </w:t>
      </w:r>
      <w:r w:rsidR="00EC459A">
        <w:rPr>
          <w:rFonts w:ascii="Times New Roman" w:hAnsi="Times New Roman"/>
          <w:sz w:val="24"/>
          <w:szCs w:val="24"/>
          <w:lang w:val="pl-PL"/>
        </w:rPr>
        <w:t>kopaliny głównej</w:t>
      </w:r>
      <w:r w:rsidR="00236D8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C459A">
        <w:rPr>
          <w:rFonts w:ascii="Times New Roman" w:hAnsi="Times New Roman"/>
          <w:sz w:val="24"/>
          <w:szCs w:val="24"/>
          <w:lang w:val="pl-PL"/>
        </w:rPr>
        <w:t xml:space="preserve">i 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C459A">
        <w:rPr>
          <w:rFonts w:ascii="Times New Roman" w:hAnsi="Times New Roman"/>
          <w:sz w:val="24"/>
          <w:szCs w:val="24"/>
          <w:lang w:val="pl-PL"/>
        </w:rPr>
        <w:t>6 820,69</w:t>
      </w:r>
      <w:r w:rsidR="00873C5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>tys. t</w:t>
      </w:r>
      <w:r w:rsidR="00EC459A">
        <w:rPr>
          <w:rFonts w:ascii="Times New Roman" w:hAnsi="Times New Roman"/>
          <w:sz w:val="24"/>
          <w:szCs w:val="24"/>
          <w:lang w:val="pl-PL"/>
        </w:rPr>
        <w:t xml:space="preserve"> łupków – kopaliny towarzyszącej</w:t>
      </w:r>
      <w:r w:rsidRPr="00DF63C8">
        <w:rPr>
          <w:rFonts w:ascii="Times New Roman" w:hAnsi="Times New Roman"/>
          <w:sz w:val="24"/>
          <w:szCs w:val="24"/>
          <w:lang w:val="pl-PL"/>
        </w:rPr>
        <w:t>. Zasoby możliwe do wydobycia (operatywne), przy uwzględnieniu strat w zasobach przemysłowych (tylko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t> </w:t>
      </w:r>
      <w:r w:rsidRPr="00DF63C8">
        <w:rPr>
          <w:rFonts w:ascii="Times New Roman" w:hAnsi="Times New Roman"/>
          <w:sz w:val="24"/>
          <w:szCs w:val="24"/>
          <w:lang w:val="pl-PL"/>
        </w:rPr>
        <w:t>pozaeksploatacyjnych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t xml:space="preserve"> w ilości</w:t>
      </w:r>
      <w:r w:rsidRPr="00DF63C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C459A">
        <w:rPr>
          <w:rFonts w:ascii="Times New Roman" w:hAnsi="Times New Roman"/>
          <w:sz w:val="24"/>
          <w:szCs w:val="24"/>
          <w:lang w:val="pl-PL"/>
        </w:rPr>
        <w:t>3 041,57</w:t>
      </w:r>
      <w:r w:rsidRPr="00DF63C8">
        <w:rPr>
          <w:rFonts w:ascii="Times New Roman" w:hAnsi="Times New Roman"/>
          <w:sz w:val="24"/>
          <w:szCs w:val="24"/>
          <w:lang w:val="pl-PL"/>
        </w:rPr>
        <w:t xml:space="preserve"> tys. t</w:t>
      </w:r>
      <w:r w:rsidR="00EC459A">
        <w:rPr>
          <w:rFonts w:ascii="Times New Roman" w:hAnsi="Times New Roman"/>
          <w:sz w:val="24"/>
          <w:szCs w:val="24"/>
          <w:lang w:val="pl-PL"/>
        </w:rPr>
        <w:t xml:space="preserve"> wapieni i 3 996,93 tys. ton łupków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t xml:space="preserve"> na</w:t>
      </w:r>
      <w:r w:rsidR="005270B3">
        <w:rPr>
          <w:rFonts w:ascii="Times New Roman" w:hAnsi="Times New Roman"/>
          <w:sz w:val="24"/>
          <w:szCs w:val="24"/>
          <w:lang w:val="pl-PL"/>
        </w:rPr>
        <w:t> 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t>które składają się zasoby pozostawione w zboczach końcowych wyrobiska</w:t>
      </w:r>
      <w:r w:rsidRPr="00DF63C8">
        <w:rPr>
          <w:rFonts w:ascii="Times New Roman" w:hAnsi="Times New Roman"/>
          <w:sz w:val="24"/>
          <w:szCs w:val="24"/>
          <w:lang w:val="pl-PL"/>
        </w:rPr>
        <w:t xml:space="preserve">), wynoszą </w:t>
      </w:r>
      <w:r w:rsidR="00EC459A">
        <w:rPr>
          <w:rFonts w:ascii="Times New Roman" w:hAnsi="Times New Roman"/>
          <w:sz w:val="24"/>
          <w:szCs w:val="24"/>
          <w:lang w:val="pl-PL"/>
        </w:rPr>
        <w:t>3466,77</w:t>
      </w:r>
      <w:r w:rsidRPr="00DF63C8">
        <w:rPr>
          <w:rFonts w:ascii="Times New Roman" w:hAnsi="Times New Roman"/>
          <w:sz w:val="24"/>
          <w:szCs w:val="24"/>
          <w:lang w:val="pl-PL"/>
        </w:rPr>
        <w:t> tys. t</w:t>
      </w:r>
      <w:r w:rsidR="00EC459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 xml:space="preserve">wapieni, a </w:t>
      </w:r>
      <w:r w:rsidR="00EC459A">
        <w:rPr>
          <w:rFonts w:ascii="Times New Roman" w:hAnsi="Times New Roman"/>
          <w:sz w:val="24"/>
          <w:szCs w:val="24"/>
          <w:lang w:val="pl-PL"/>
        </w:rPr>
        <w:t>łupków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072C9A">
        <w:rPr>
          <w:rFonts w:ascii="Times New Roman" w:hAnsi="Times New Roman"/>
          <w:sz w:val="24"/>
          <w:szCs w:val="24"/>
          <w:lang w:val="pl-PL"/>
        </w:rPr>
        <w:t>2823, 76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 xml:space="preserve"> tys. t</w:t>
      </w:r>
      <w:r w:rsidRPr="00DF63C8">
        <w:rPr>
          <w:rFonts w:ascii="Times New Roman" w:hAnsi="Times New Roman"/>
          <w:sz w:val="24"/>
          <w:szCs w:val="24"/>
          <w:lang w:val="pl-PL"/>
        </w:rPr>
        <w:t>. Wskaźnik wykorzystania zasobów przemysłowych złoża „</w:t>
      </w:r>
      <w:r w:rsidR="00072C9A">
        <w:rPr>
          <w:rFonts w:ascii="Times New Roman" w:hAnsi="Times New Roman"/>
          <w:sz w:val="24"/>
          <w:szCs w:val="24"/>
          <w:lang w:val="pl-PL"/>
        </w:rPr>
        <w:t>Kostomłoty</w:t>
      </w:r>
      <w:r w:rsidRPr="00DF63C8">
        <w:rPr>
          <w:rFonts w:ascii="Times New Roman" w:hAnsi="Times New Roman"/>
          <w:sz w:val="24"/>
          <w:szCs w:val="24"/>
          <w:lang w:val="pl-PL"/>
        </w:rPr>
        <w:t>” wyniesie</w:t>
      </w:r>
      <w:r w:rsidR="00072C9A">
        <w:rPr>
          <w:rFonts w:ascii="Times New Roman" w:hAnsi="Times New Roman"/>
          <w:sz w:val="24"/>
          <w:szCs w:val="24"/>
          <w:lang w:val="pl-PL"/>
        </w:rPr>
        <w:t xml:space="preserve"> dla wapieni 0,46, natomiast dla łupków 0,31</w:t>
      </w:r>
      <w:r w:rsidRPr="00DF63C8">
        <w:rPr>
          <w:rFonts w:ascii="Times New Roman" w:hAnsi="Times New Roman"/>
          <w:sz w:val="24"/>
          <w:szCs w:val="24"/>
          <w:lang w:val="pl-PL"/>
        </w:rPr>
        <w:t>.</w:t>
      </w:r>
    </w:p>
    <w:p w14:paraId="08AA3F8F" w14:textId="77777777" w:rsidR="00A54EC6" w:rsidRPr="00D461AE" w:rsidRDefault="00A54EC6" w:rsidP="00380346">
      <w:pPr>
        <w:jc w:val="both"/>
        <w:rPr>
          <w:rFonts w:ascii="Times New Roman" w:hAnsi="Times New Roman"/>
          <w:lang w:val="pl-PL"/>
        </w:rPr>
      </w:pPr>
    </w:p>
    <w:p w14:paraId="065510B8" w14:textId="252FB62D" w:rsidR="00380346" w:rsidRPr="00084E37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084E37">
        <w:rPr>
          <w:rFonts w:ascii="Times New Roman" w:hAnsi="Times New Roman"/>
          <w:lang w:val="pl-PL"/>
        </w:rPr>
        <w:t xml:space="preserve">Eksploatacja </w:t>
      </w:r>
      <w:r w:rsidR="00084E37" w:rsidRPr="00084E37">
        <w:rPr>
          <w:rFonts w:ascii="Times New Roman" w:hAnsi="Times New Roman"/>
          <w:lang w:val="pl-PL"/>
        </w:rPr>
        <w:t>kopalin ze złoża „</w:t>
      </w:r>
      <w:r w:rsidR="00A70518">
        <w:rPr>
          <w:rFonts w:ascii="Times New Roman" w:hAnsi="Times New Roman"/>
          <w:lang w:val="pl-PL"/>
        </w:rPr>
        <w:t>Kostomłoty</w:t>
      </w:r>
      <w:r w:rsidR="00084E37" w:rsidRPr="00084E37">
        <w:rPr>
          <w:rFonts w:ascii="Times New Roman" w:hAnsi="Times New Roman"/>
          <w:lang w:val="pl-PL"/>
        </w:rPr>
        <w:t>”</w:t>
      </w:r>
      <w:r w:rsidRPr="00084E37">
        <w:rPr>
          <w:rFonts w:ascii="Times New Roman" w:hAnsi="Times New Roman"/>
          <w:lang w:val="pl-PL"/>
        </w:rPr>
        <w:t xml:space="preserve"> prowadzona będzie:</w:t>
      </w:r>
    </w:p>
    <w:p w14:paraId="086F1D0F" w14:textId="612AA69E" w:rsidR="00202CCF" w:rsidRPr="00333A60" w:rsidRDefault="004B1883" w:rsidP="00333A60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 xml:space="preserve">w granicach wyznaczonego obszaru górniczego, do głębokości nieprzekraczającej </w:t>
      </w:r>
      <w:r>
        <w:rPr>
          <w:rFonts w:ascii="Times New Roman" w:hAnsi="Times New Roman"/>
          <w:lang w:val="pl-PL"/>
        </w:rPr>
        <w:t>rzędnej +222</w:t>
      </w:r>
      <w:r w:rsidRPr="00D461AE">
        <w:rPr>
          <w:rFonts w:ascii="Times New Roman" w:hAnsi="Times New Roman"/>
          <w:lang w:val="pl-PL"/>
        </w:rPr>
        <w:t xml:space="preserve"> m n.p.m.;</w:t>
      </w:r>
    </w:p>
    <w:p w14:paraId="15DD9605" w14:textId="0638B030" w:rsidR="00A7051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 xml:space="preserve">metodą odkrywkową, systemem ścianowym, w </w:t>
      </w:r>
      <w:r>
        <w:rPr>
          <w:rFonts w:ascii="Times New Roman" w:hAnsi="Times New Roman"/>
          <w:lang w:val="pl-PL"/>
        </w:rPr>
        <w:t>wyrobisku</w:t>
      </w:r>
      <w:r w:rsidRPr="00D461AE">
        <w:rPr>
          <w:rFonts w:ascii="Times New Roman" w:hAnsi="Times New Roman"/>
          <w:lang w:val="pl-PL"/>
        </w:rPr>
        <w:t xml:space="preserve"> stokowo - wgłębnym, </w:t>
      </w:r>
      <w:r w:rsidRPr="00B95ED4">
        <w:rPr>
          <w:rFonts w:ascii="Times New Roman" w:hAnsi="Times New Roman"/>
          <w:lang w:val="pl-PL"/>
        </w:rPr>
        <w:t xml:space="preserve">ośmioma </w:t>
      </w:r>
      <w:r w:rsidRPr="00D461AE">
        <w:rPr>
          <w:rFonts w:ascii="Times New Roman" w:hAnsi="Times New Roman"/>
          <w:lang w:val="pl-PL"/>
        </w:rPr>
        <w:t>poziomami eksploatacyjnymi założonymi na rzędnych ca:</w:t>
      </w:r>
      <w:r>
        <w:rPr>
          <w:rFonts w:ascii="Times New Roman" w:hAnsi="Times New Roman"/>
          <w:lang w:val="pl-PL"/>
        </w:rPr>
        <w:t>, +288 (II), +280 (III), +272 (IV), +264 (V), +257 (VI), +245 (VII)</w:t>
      </w:r>
      <w:r w:rsidR="00CA05FC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 xml:space="preserve"> +234 (VIII) </w:t>
      </w:r>
      <w:r w:rsidRPr="00D461AE">
        <w:rPr>
          <w:rFonts w:ascii="Times New Roman" w:hAnsi="Times New Roman"/>
          <w:lang w:val="pl-PL"/>
        </w:rPr>
        <w:t>m</w:t>
      </w:r>
      <w:r>
        <w:rPr>
          <w:rFonts w:ascii="Times New Roman" w:hAnsi="Times New Roman"/>
          <w:lang w:val="pl-PL"/>
        </w:rPr>
        <w:t> </w:t>
      </w:r>
      <w:r w:rsidRPr="00D461AE">
        <w:rPr>
          <w:rFonts w:ascii="Times New Roman" w:hAnsi="Times New Roman"/>
          <w:lang w:val="pl-PL"/>
        </w:rPr>
        <w:t>n.p.m.</w:t>
      </w:r>
      <w:r w:rsidRPr="00A7051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i +222 (IX) </w:t>
      </w:r>
      <w:r w:rsidRPr="00D461AE">
        <w:rPr>
          <w:rFonts w:ascii="Times New Roman" w:hAnsi="Times New Roman"/>
          <w:lang w:val="pl-PL"/>
        </w:rPr>
        <w:t>m</w:t>
      </w:r>
      <w:r>
        <w:rPr>
          <w:rFonts w:ascii="Times New Roman" w:hAnsi="Times New Roman"/>
          <w:lang w:val="pl-PL"/>
        </w:rPr>
        <w:t> </w:t>
      </w:r>
      <w:r w:rsidRPr="00D461AE">
        <w:rPr>
          <w:rFonts w:ascii="Times New Roman" w:hAnsi="Times New Roman"/>
          <w:lang w:val="pl-PL"/>
        </w:rPr>
        <w:t>n.p.m.</w:t>
      </w:r>
      <w:r w:rsidRPr="007C60A8">
        <w:rPr>
          <w:rFonts w:ascii="Times New Roman" w:hAnsi="Times New Roman"/>
          <w:lang w:val="pl-PL"/>
        </w:rPr>
        <w:t xml:space="preserve">; </w:t>
      </w:r>
    </w:p>
    <w:p w14:paraId="70D0E959" w14:textId="5535710A" w:rsidR="00A7051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7C60A8">
        <w:rPr>
          <w:rFonts w:ascii="Times New Roman" w:hAnsi="Times New Roman"/>
          <w:lang w:val="pl-PL"/>
        </w:rPr>
        <w:t>przy</w:t>
      </w:r>
      <w:r>
        <w:rPr>
          <w:rFonts w:ascii="Times New Roman" w:hAnsi="Times New Roman"/>
          <w:lang w:val="pl-PL"/>
        </w:rPr>
        <w:t xml:space="preserve"> użyciu materiałów wybuchowych (</w:t>
      </w:r>
      <w:r w:rsidRPr="007C60A8">
        <w:rPr>
          <w:rFonts w:ascii="Times New Roman" w:hAnsi="Times New Roman"/>
          <w:lang w:val="pl-PL"/>
        </w:rPr>
        <w:t>z zastosowaniem jako metody podstawowej strzelania długimi otworami strzałowymi pionowymi</w:t>
      </w:r>
      <w:r>
        <w:rPr>
          <w:rFonts w:ascii="Times New Roman" w:hAnsi="Times New Roman"/>
          <w:lang w:val="pl-PL"/>
        </w:rPr>
        <w:t>) oraz sposobami mechanicznymi</w:t>
      </w:r>
      <w:r w:rsidRPr="007C60A8">
        <w:rPr>
          <w:rFonts w:ascii="Times New Roman" w:hAnsi="Times New Roman"/>
          <w:lang w:val="pl-PL"/>
        </w:rPr>
        <w:t>;</w:t>
      </w:r>
    </w:p>
    <w:p w14:paraId="1994E9A1" w14:textId="77777777" w:rsidR="00A7051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 odwadnieniem wyrobiska górniczego na złożu „Kostomłoty”;</w:t>
      </w:r>
    </w:p>
    <w:p w14:paraId="00D3875B" w14:textId="77777777" w:rsidR="00A70518" w:rsidRPr="007C60A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7C60A8">
        <w:rPr>
          <w:rFonts w:ascii="Times New Roman" w:hAnsi="Times New Roman"/>
          <w:lang w:val="pl-PL"/>
        </w:rPr>
        <w:t>w oparciu o projekt zagospodarowania złoża</w:t>
      </w:r>
      <w:r>
        <w:rPr>
          <w:rFonts w:ascii="Times New Roman" w:hAnsi="Times New Roman"/>
          <w:lang w:val="pl-PL"/>
        </w:rPr>
        <w:t>, stanowiący załącznik do wniosku o zmianę koncesji</w:t>
      </w:r>
      <w:r w:rsidRPr="007C60A8">
        <w:rPr>
          <w:rFonts w:ascii="Times New Roman" w:hAnsi="Times New Roman"/>
          <w:lang w:val="pl-PL"/>
        </w:rPr>
        <w:t xml:space="preserve"> i plan ruchu zakładu górniczego.</w:t>
      </w:r>
    </w:p>
    <w:p w14:paraId="5FC9636F" w14:textId="7E3E7B4C" w:rsidR="00380346" w:rsidRPr="002C74A2" w:rsidRDefault="00380346" w:rsidP="00A70518">
      <w:pPr>
        <w:pStyle w:val="Nagwek"/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</w:p>
    <w:p w14:paraId="4BF87DF4" w14:textId="77777777" w:rsidR="00380346" w:rsidRPr="00D461AE" w:rsidRDefault="00380346" w:rsidP="00380346">
      <w:pPr>
        <w:pStyle w:val="Nagwek"/>
        <w:jc w:val="both"/>
        <w:rPr>
          <w:rFonts w:ascii="Times New Roman" w:hAnsi="Times New Roman"/>
          <w:lang w:val="pl-PL"/>
        </w:rPr>
      </w:pPr>
    </w:p>
    <w:p w14:paraId="1704D14F" w14:textId="0C79E4F0" w:rsidR="00370150" w:rsidRPr="00370150" w:rsidRDefault="00370150" w:rsidP="0037015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CD133A">
        <w:rPr>
          <w:rFonts w:ascii="Times New Roman" w:hAnsi="Times New Roman"/>
          <w:lang w:val="pl-PL"/>
        </w:rPr>
        <w:t>Podc</w:t>
      </w:r>
      <w:r w:rsidR="008D7594" w:rsidRPr="00CD133A">
        <w:rPr>
          <w:rFonts w:ascii="Times New Roman" w:hAnsi="Times New Roman"/>
          <w:lang w:val="pl-PL"/>
        </w:rPr>
        <w:t>zas</w:t>
      </w:r>
      <w:r w:rsidRPr="00CD133A">
        <w:rPr>
          <w:rFonts w:ascii="Times New Roman" w:hAnsi="Times New Roman"/>
          <w:lang w:val="pl-PL"/>
        </w:rPr>
        <w:t xml:space="preserve"> działalności wydobywczej prowadzonej na złoż</w:t>
      </w:r>
      <w:r w:rsidR="008D7594" w:rsidRPr="00CD133A">
        <w:rPr>
          <w:rFonts w:ascii="Times New Roman" w:hAnsi="Times New Roman"/>
          <w:lang w:val="pl-PL"/>
        </w:rPr>
        <w:t>u</w:t>
      </w:r>
      <w:r w:rsidRPr="00CD133A">
        <w:rPr>
          <w:rFonts w:ascii="Times New Roman" w:hAnsi="Times New Roman"/>
          <w:lang w:val="pl-PL"/>
        </w:rPr>
        <w:t xml:space="preserve"> </w:t>
      </w:r>
      <w:r w:rsidRPr="00370150">
        <w:rPr>
          <w:rFonts w:ascii="Times New Roman" w:hAnsi="Times New Roman"/>
          <w:lang w:val="pl-PL"/>
        </w:rPr>
        <w:t>„</w:t>
      </w:r>
      <w:r w:rsidR="00A70518">
        <w:rPr>
          <w:rFonts w:ascii="Times New Roman" w:hAnsi="Times New Roman"/>
          <w:lang w:val="pl-PL"/>
        </w:rPr>
        <w:t>Kostomłoty</w:t>
      </w:r>
      <w:r w:rsidRPr="00370150">
        <w:rPr>
          <w:rFonts w:ascii="Times New Roman" w:hAnsi="Times New Roman"/>
          <w:lang w:val="pl-PL"/>
        </w:rPr>
        <w:t xml:space="preserve">” </w:t>
      </w:r>
      <w:r w:rsidRPr="00CD133A">
        <w:rPr>
          <w:rFonts w:ascii="Times New Roman" w:hAnsi="Times New Roman"/>
          <w:lang w:val="pl-PL"/>
        </w:rPr>
        <w:t>przedsiębiorca zobowiązany jest do:</w:t>
      </w:r>
    </w:p>
    <w:p w14:paraId="2EDE8B1B" w14:textId="77777777" w:rsidR="00380346" w:rsidRPr="00EF4283" w:rsidRDefault="00380346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EF4283">
        <w:rPr>
          <w:rFonts w:ascii="Times New Roman" w:hAnsi="Times New Roman"/>
          <w:lang w:val="pl-PL"/>
        </w:rPr>
        <w:t xml:space="preserve">prowadzenia eksploatacji zgodnie z zasadami techniki górniczej, z zachowaniem stateczności skarp roboczych w wyrobisku górniczym (w celu wyeliminowania obrywów lub osunięć skał) oraz odpowiedniego wyprzedzenia pomiędzy urabianymi ścianami; </w:t>
      </w:r>
    </w:p>
    <w:p w14:paraId="2A8B689F" w14:textId="47CBE5B2" w:rsidR="00B11B33" w:rsidRPr="00CB2378" w:rsidRDefault="00B11B33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ukształtowania skarp końcowych pod kątem ca: </w:t>
      </w:r>
      <w:r w:rsidRPr="008B62BB">
        <w:rPr>
          <w:rFonts w:ascii="Times New Roman" w:hAnsi="Times New Roman"/>
          <w:lang w:val="pl-PL"/>
        </w:rPr>
        <w:t>45</w:t>
      </w:r>
      <w:r w:rsidRPr="008B62BB">
        <w:rPr>
          <w:rFonts w:ascii="Times New Roman" w:hAnsi="Times New Roman"/>
          <w:vertAlign w:val="superscript"/>
          <w:lang w:val="pl-PL"/>
        </w:rPr>
        <w:t>0</w:t>
      </w:r>
      <w:r w:rsidRPr="008B62BB">
        <w:rPr>
          <w:rFonts w:ascii="Times New Roman" w:hAnsi="Times New Roman"/>
          <w:lang w:val="pl-PL"/>
        </w:rPr>
        <w:t xml:space="preserve"> w nadkładzie</w:t>
      </w:r>
      <w:r w:rsidR="00972E91">
        <w:rPr>
          <w:rFonts w:ascii="Times New Roman" w:hAnsi="Times New Roman"/>
          <w:lang w:val="pl-PL"/>
        </w:rPr>
        <w:t xml:space="preserve">, </w:t>
      </w:r>
      <w:r w:rsidR="00972E91" w:rsidRPr="00CB2378">
        <w:rPr>
          <w:rFonts w:ascii="Times New Roman" w:hAnsi="Times New Roman"/>
          <w:lang w:val="pl-PL"/>
        </w:rPr>
        <w:t>70</w:t>
      </w:r>
      <w:r w:rsidR="00972E91" w:rsidRPr="00CB2378">
        <w:rPr>
          <w:rFonts w:ascii="Times New Roman" w:hAnsi="Times New Roman"/>
          <w:vertAlign w:val="superscript"/>
          <w:lang w:val="pl-PL"/>
        </w:rPr>
        <w:t>0</w:t>
      </w:r>
      <w:r w:rsidRPr="00CB2378">
        <w:rPr>
          <w:rFonts w:ascii="Times New Roman" w:hAnsi="Times New Roman"/>
          <w:lang w:val="pl-PL"/>
        </w:rPr>
        <w:t xml:space="preserve"> </w:t>
      </w:r>
      <w:r w:rsidR="00972E91" w:rsidRPr="00CB2378">
        <w:rPr>
          <w:rFonts w:ascii="Times New Roman" w:hAnsi="Times New Roman"/>
          <w:lang w:val="pl-PL"/>
        </w:rPr>
        <w:t xml:space="preserve">w złożu </w:t>
      </w:r>
      <w:r w:rsidR="00CB2378" w:rsidRPr="00CB2378">
        <w:rPr>
          <w:rFonts w:ascii="Times New Roman" w:hAnsi="Times New Roman"/>
          <w:lang w:val="pl-PL"/>
        </w:rPr>
        <w:t>(</w:t>
      </w:r>
      <w:r w:rsidR="00AE40CA" w:rsidRPr="00CB2378">
        <w:rPr>
          <w:rFonts w:ascii="Times New Roman" w:hAnsi="Times New Roman"/>
          <w:lang w:val="pl-PL"/>
        </w:rPr>
        <w:t>50</w:t>
      </w:r>
      <w:r w:rsidRPr="00CB2378">
        <w:rPr>
          <w:rFonts w:ascii="Times New Roman" w:hAnsi="Times New Roman"/>
          <w:vertAlign w:val="superscript"/>
          <w:lang w:val="pl-PL"/>
        </w:rPr>
        <w:t>0</w:t>
      </w:r>
      <w:r w:rsidRPr="00CB2378">
        <w:rPr>
          <w:rFonts w:ascii="Times New Roman" w:hAnsi="Times New Roman"/>
          <w:lang w:val="pl-PL"/>
        </w:rPr>
        <w:t xml:space="preserve"> </w:t>
      </w:r>
      <w:r w:rsidR="00CB2378" w:rsidRPr="00CB2378">
        <w:rPr>
          <w:rFonts w:ascii="Times New Roman" w:hAnsi="Times New Roman"/>
          <w:lang w:val="pl-PL"/>
        </w:rPr>
        <w:t>w skarpie południowej)</w:t>
      </w:r>
      <w:r w:rsidR="00CA05FC">
        <w:rPr>
          <w:rFonts w:ascii="Times New Roman" w:hAnsi="Times New Roman"/>
          <w:lang w:val="pl-PL"/>
        </w:rPr>
        <w:t>;</w:t>
      </w:r>
      <w:r w:rsidR="005346CD" w:rsidRPr="00CB2378">
        <w:rPr>
          <w:rFonts w:ascii="Times New Roman" w:hAnsi="Times New Roman"/>
          <w:lang w:val="pl-PL"/>
        </w:rPr>
        <w:t xml:space="preserve"> </w:t>
      </w:r>
      <w:r w:rsidRPr="00CB2378">
        <w:rPr>
          <w:rFonts w:ascii="Times New Roman" w:hAnsi="Times New Roman"/>
          <w:vertAlign w:val="superscript"/>
          <w:lang w:val="pl-PL"/>
        </w:rPr>
        <w:t xml:space="preserve"> </w:t>
      </w:r>
    </w:p>
    <w:p w14:paraId="41395F1F" w14:textId="77777777" w:rsidR="00EF4283" w:rsidRPr="008A24CD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r w:rsidRPr="00EF4283">
        <w:rPr>
          <w:rFonts w:ascii="Times New Roman" w:hAnsi="Times New Roman"/>
          <w:lang w:val="pl-PL"/>
        </w:rPr>
        <w:t>projektowania i wykonywania robót strzałowych do urabiania kopaliny w sposób wykluczający ich oddziaływanie na tereny i obiekty budowlane nie będące własnością przedsiębiorcy</w:t>
      </w:r>
      <w:r w:rsidRPr="00EF4283">
        <w:rPr>
          <w:rFonts w:ascii="Times New Roman" w:hAnsi="Times New Roman"/>
          <w:color w:val="000000"/>
          <w:lang w:val="pl-PL"/>
        </w:rPr>
        <w:t xml:space="preserve"> oraz zapewniający bezpieczeństwo powszechne i</w:t>
      </w:r>
      <w:r>
        <w:rPr>
          <w:rFonts w:ascii="Times New Roman" w:hAnsi="Times New Roman"/>
          <w:color w:val="000000"/>
          <w:lang w:val="pl-PL"/>
        </w:rPr>
        <w:t> </w:t>
      </w:r>
      <w:r w:rsidRPr="00EF4283">
        <w:rPr>
          <w:rFonts w:ascii="Times New Roman" w:hAnsi="Times New Roman"/>
          <w:color w:val="000000"/>
          <w:lang w:val="pl-PL"/>
        </w:rPr>
        <w:t xml:space="preserve">bezpieczeństwo </w:t>
      </w:r>
      <w:r w:rsidRPr="008A24CD">
        <w:rPr>
          <w:rFonts w:ascii="Times New Roman" w:hAnsi="Times New Roman"/>
          <w:lang w:val="pl-PL"/>
        </w:rPr>
        <w:t xml:space="preserve">pracy, z zastosowaniem posiadanych ekspertyz określających dopuszczalne ładunki materiałów wybuchowych i strefy oddziaływań od robót strzałowych; </w:t>
      </w:r>
    </w:p>
    <w:p w14:paraId="51030D6A" w14:textId="1C15E76F" w:rsidR="00EF4283" w:rsidRPr="008A24CD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r w:rsidRPr="008A24CD">
        <w:rPr>
          <w:rFonts w:ascii="Times New Roman" w:hAnsi="Times New Roman"/>
          <w:lang w:val="pl-PL"/>
        </w:rPr>
        <w:t xml:space="preserve">prowadzenia bieżącej ewidencji wielkości wydobycia </w:t>
      </w:r>
      <w:r w:rsidR="00B11B33" w:rsidRPr="008A24CD">
        <w:rPr>
          <w:rFonts w:ascii="Times New Roman" w:hAnsi="Times New Roman"/>
          <w:lang w:val="pl-PL"/>
        </w:rPr>
        <w:t xml:space="preserve">wapieni i </w:t>
      </w:r>
      <w:r w:rsidR="007135EF" w:rsidRPr="008A24CD">
        <w:rPr>
          <w:rFonts w:ascii="Times New Roman" w:hAnsi="Times New Roman"/>
          <w:lang w:val="pl-PL"/>
        </w:rPr>
        <w:t>łupków</w:t>
      </w:r>
      <w:r w:rsidRPr="008A24CD">
        <w:rPr>
          <w:rFonts w:ascii="Times New Roman" w:hAnsi="Times New Roman"/>
          <w:lang w:val="pl-PL"/>
        </w:rPr>
        <w:t xml:space="preserve"> ze złoża, w</w:t>
      </w:r>
      <w:r w:rsidR="00415064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tym ilości krasu występującego w złożu.</w:t>
      </w:r>
    </w:p>
    <w:p w14:paraId="7D267D96" w14:textId="77777777" w:rsidR="00380346" w:rsidRPr="008A24CD" w:rsidRDefault="00380346" w:rsidP="00380346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8ACDAC7" w14:textId="7D4139D9" w:rsidR="002F1AE0" w:rsidRPr="008A24CD" w:rsidRDefault="002F1AE0" w:rsidP="002F1AE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 xml:space="preserve">Przedsiębiorca zobowiązany jest do przestrzegania warunków ustalonych w decyzji </w:t>
      </w:r>
      <w:bookmarkStart w:id="6" w:name="_Hlk113452596"/>
      <w:r w:rsidR="00F21349" w:rsidRPr="008A24CD">
        <w:rPr>
          <w:rFonts w:ascii="Times New Roman" w:hAnsi="Times New Roman"/>
          <w:lang w:val="pl-PL"/>
        </w:rPr>
        <w:t>Wójta</w:t>
      </w:r>
      <w:r w:rsidR="00434329" w:rsidRPr="008A24CD">
        <w:rPr>
          <w:rFonts w:ascii="Times New Roman" w:hAnsi="Times New Roman"/>
          <w:lang w:val="pl-PL"/>
        </w:rPr>
        <w:t xml:space="preserve"> </w:t>
      </w:r>
      <w:r w:rsidRPr="008A24CD">
        <w:rPr>
          <w:rFonts w:ascii="Times New Roman" w:hAnsi="Times New Roman"/>
          <w:lang w:val="pl-PL"/>
        </w:rPr>
        <w:t xml:space="preserve">Gminy </w:t>
      </w:r>
      <w:r w:rsidR="00F21349" w:rsidRPr="008A24CD">
        <w:rPr>
          <w:rFonts w:ascii="Times New Roman" w:hAnsi="Times New Roman"/>
          <w:lang w:val="pl-PL"/>
        </w:rPr>
        <w:t>Miedziana Góra</w:t>
      </w:r>
      <w:r w:rsidRPr="008A24CD">
        <w:rPr>
          <w:rFonts w:ascii="Times New Roman" w:hAnsi="Times New Roman"/>
          <w:lang w:val="pl-PL"/>
        </w:rPr>
        <w:t xml:space="preserve"> z dnia </w:t>
      </w:r>
      <w:r w:rsidR="00F21349" w:rsidRPr="008A24CD">
        <w:rPr>
          <w:rFonts w:ascii="Times New Roman" w:hAnsi="Times New Roman"/>
          <w:lang w:val="pl-PL"/>
        </w:rPr>
        <w:t>14</w:t>
      </w:r>
      <w:r w:rsidR="00E52C26" w:rsidRPr="008A24CD">
        <w:rPr>
          <w:rFonts w:ascii="Times New Roman" w:hAnsi="Times New Roman"/>
          <w:lang w:val="pl-PL"/>
        </w:rPr>
        <w:t>.</w:t>
      </w:r>
      <w:r w:rsidR="004972B2" w:rsidRPr="008A24CD">
        <w:rPr>
          <w:rFonts w:ascii="Times New Roman" w:hAnsi="Times New Roman"/>
          <w:lang w:val="pl-PL"/>
        </w:rPr>
        <w:t>1</w:t>
      </w:r>
      <w:r w:rsidR="00F21349" w:rsidRPr="008A24CD">
        <w:rPr>
          <w:rFonts w:ascii="Times New Roman" w:hAnsi="Times New Roman"/>
          <w:lang w:val="pl-PL"/>
        </w:rPr>
        <w:t>2</w:t>
      </w:r>
      <w:r w:rsidR="00E52C26" w:rsidRPr="008A24CD">
        <w:rPr>
          <w:rFonts w:ascii="Times New Roman" w:hAnsi="Times New Roman"/>
          <w:lang w:val="pl-PL"/>
        </w:rPr>
        <w:t>.20</w:t>
      </w:r>
      <w:r w:rsidR="004972B2" w:rsidRPr="008A24CD">
        <w:rPr>
          <w:rFonts w:ascii="Times New Roman" w:hAnsi="Times New Roman"/>
          <w:lang w:val="pl-PL"/>
        </w:rPr>
        <w:t>2</w:t>
      </w:r>
      <w:r w:rsidR="00F21349" w:rsidRPr="008A24CD">
        <w:rPr>
          <w:rFonts w:ascii="Times New Roman" w:hAnsi="Times New Roman"/>
          <w:lang w:val="pl-PL"/>
        </w:rPr>
        <w:t>1</w:t>
      </w:r>
      <w:r w:rsidRPr="008A24CD">
        <w:rPr>
          <w:rFonts w:ascii="Times New Roman" w:hAnsi="Times New Roman"/>
          <w:lang w:val="pl-PL"/>
        </w:rPr>
        <w:t xml:space="preserve">r., znak: </w:t>
      </w:r>
      <w:r w:rsidR="00F21349" w:rsidRPr="008A24CD">
        <w:rPr>
          <w:rFonts w:ascii="Times New Roman" w:hAnsi="Times New Roman"/>
          <w:lang w:val="pl-PL"/>
        </w:rPr>
        <w:t>IGPOS</w:t>
      </w:r>
      <w:r w:rsidR="00E52C26" w:rsidRPr="008A24CD">
        <w:rPr>
          <w:rFonts w:ascii="Times New Roman" w:hAnsi="Times New Roman"/>
          <w:lang w:val="pl-PL"/>
        </w:rPr>
        <w:t>.6220.</w:t>
      </w:r>
      <w:r w:rsidR="004972B2" w:rsidRPr="008A24CD">
        <w:rPr>
          <w:rFonts w:ascii="Times New Roman" w:hAnsi="Times New Roman"/>
          <w:lang w:val="pl-PL"/>
        </w:rPr>
        <w:t>2</w:t>
      </w:r>
      <w:r w:rsidR="00E52C26" w:rsidRPr="008A24CD">
        <w:rPr>
          <w:rFonts w:ascii="Times New Roman" w:hAnsi="Times New Roman"/>
          <w:lang w:val="pl-PL"/>
        </w:rPr>
        <w:t>.20</w:t>
      </w:r>
      <w:r w:rsidR="00F21349" w:rsidRPr="008A24CD">
        <w:rPr>
          <w:rFonts w:ascii="Times New Roman" w:hAnsi="Times New Roman"/>
          <w:lang w:val="pl-PL"/>
        </w:rPr>
        <w:t>20</w:t>
      </w:r>
      <w:bookmarkEnd w:id="6"/>
      <w:r w:rsidRPr="008A24CD">
        <w:rPr>
          <w:rFonts w:ascii="Times New Roman" w:hAnsi="Times New Roman"/>
          <w:lang w:val="pl-PL"/>
        </w:rPr>
        <w:t xml:space="preserve">, o środowiskowych uwarunkowaniach dotyczących wydobycia </w:t>
      </w:r>
      <w:r w:rsidR="00B84A40" w:rsidRPr="008A24CD">
        <w:rPr>
          <w:rFonts w:ascii="Times New Roman" w:hAnsi="Times New Roman"/>
          <w:lang w:val="pl-PL"/>
        </w:rPr>
        <w:t>kopalin</w:t>
      </w:r>
      <w:r w:rsidRPr="008A24CD">
        <w:rPr>
          <w:rFonts w:ascii="Times New Roman" w:hAnsi="Times New Roman"/>
          <w:lang w:val="pl-PL"/>
        </w:rPr>
        <w:t>, polegających zwłaszcza na:</w:t>
      </w:r>
    </w:p>
    <w:p w14:paraId="192DAE3C" w14:textId="7437C9B5" w:rsidR="000A070D" w:rsidRPr="008A24CD" w:rsidRDefault="005A2099" w:rsidP="002F1AE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w</w:t>
      </w:r>
      <w:r w:rsidR="000A070D" w:rsidRPr="008A24CD">
        <w:rPr>
          <w:rFonts w:ascii="Times New Roman" w:hAnsi="Times New Roman"/>
          <w:lang w:val="pl-PL"/>
        </w:rPr>
        <w:t>ydobywaniu i przerobie kopaliny w ilości max. 500 000 ton/rok, tj. max 4 000 ton/dobę;</w:t>
      </w:r>
    </w:p>
    <w:p w14:paraId="2A51E4BA" w14:textId="532361AA" w:rsidR="002F1AE0" w:rsidRPr="008A24CD" w:rsidRDefault="00AC3801" w:rsidP="002F1AE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 xml:space="preserve">prowadzeniu </w:t>
      </w:r>
      <w:r w:rsidR="001F3FE4" w:rsidRPr="008A24CD">
        <w:rPr>
          <w:rFonts w:ascii="Times New Roman" w:hAnsi="Times New Roman"/>
          <w:lang w:val="pl-PL"/>
        </w:rPr>
        <w:t xml:space="preserve">eksploatacji, przeróbki oraz wywozu </w:t>
      </w:r>
      <w:r w:rsidRPr="008A24CD">
        <w:rPr>
          <w:rFonts w:ascii="Times New Roman" w:hAnsi="Times New Roman"/>
          <w:lang w:val="pl-PL"/>
        </w:rPr>
        <w:t>kopaliny wyłącznie w porze</w:t>
      </w:r>
      <w:r w:rsidR="00415064">
        <w:rPr>
          <w:rFonts w:ascii="Times New Roman" w:hAnsi="Times New Roman"/>
          <w:lang w:val="pl-PL"/>
        </w:rPr>
        <w:t xml:space="preserve"> </w:t>
      </w:r>
      <w:r w:rsidRPr="008A24CD">
        <w:rPr>
          <w:rFonts w:ascii="Times New Roman" w:hAnsi="Times New Roman"/>
          <w:lang w:val="pl-PL"/>
        </w:rPr>
        <w:t>dziennej, w godzinach 6.00 do 22.00</w:t>
      </w:r>
      <w:r w:rsidR="00CA05FC">
        <w:rPr>
          <w:rFonts w:ascii="Times New Roman" w:hAnsi="Times New Roman"/>
          <w:lang w:val="pl-PL"/>
        </w:rPr>
        <w:t>;</w:t>
      </w:r>
      <w:r w:rsidR="002F1AE0" w:rsidRPr="008A24CD">
        <w:rPr>
          <w:rFonts w:ascii="Times New Roman" w:hAnsi="Times New Roman"/>
          <w:lang w:val="pl-PL"/>
        </w:rPr>
        <w:t xml:space="preserve"> </w:t>
      </w:r>
    </w:p>
    <w:p w14:paraId="22C084A5" w14:textId="5B137FBC" w:rsidR="002F1AE0" w:rsidRPr="008A24CD" w:rsidRDefault="00B6700F" w:rsidP="002F1AE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lastRenderedPageBreak/>
        <w:t>zlokalizowaniu zaplecza technicznego poza wyrobiskiem na terenie utwardzonym, zabezpieczając środowisko gruntowo-wodne przed zanieczyszczeniami</w:t>
      </w:r>
      <w:r w:rsidR="002F1AE0" w:rsidRPr="008A24CD">
        <w:rPr>
          <w:rFonts w:ascii="Times New Roman" w:hAnsi="Times New Roman"/>
          <w:lang w:val="pl-PL"/>
        </w:rPr>
        <w:t>;</w:t>
      </w:r>
    </w:p>
    <w:p w14:paraId="016A0EA2" w14:textId="4DC0DA65" w:rsidR="00B6700F" w:rsidRPr="008A24CD" w:rsidRDefault="00B6700F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wycinki drzew i krzewów o</w:t>
      </w:r>
      <w:r w:rsidR="00972E91">
        <w:rPr>
          <w:rFonts w:ascii="Times New Roman" w:hAnsi="Times New Roman"/>
          <w:lang w:val="pl-PL"/>
        </w:rPr>
        <w:t>d</w:t>
      </w:r>
      <w:r w:rsidRPr="008A24CD">
        <w:rPr>
          <w:rFonts w:ascii="Times New Roman" w:hAnsi="Times New Roman"/>
          <w:lang w:val="pl-PL"/>
        </w:rPr>
        <w:t xml:space="preserve"> 15 października do końca lutego, a poza tym okresem</w:t>
      </w:r>
      <w:r w:rsidR="005270B3">
        <w:rPr>
          <w:rFonts w:ascii="Times New Roman" w:hAnsi="Times New Roman"/>
          <w:lang w:val="pl-PL"/>
        </w:rPr>
        <w:t>-</w:t>
      </w:r>
      <w:r w:rsidRPr="008A24CD">
        <w:rPr>
          <w:rFonts w:ascii="Times New Roman" w:hAnsi="Times New Roman"/>
          <w:lang w:val="pl-PL"/>
        </w:rPr>
        <w:t xml:space="preserve"> pod nadzorem przyrodniczym;</w:t>
      </w:r>
    </w:p>
    <w:p w14:paraId="188D6616" w14:textId="778B3EC2" w:rsidR="00683DD7" w:rsidRPr="00873C59" w:rsidRDefault="00B6700F" w:rsidP="00873C5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zdejmowaniu wierzchniej warstw gleby od 15 sierpnia do 15 października;</w:t>
      </w:r>
    </w:p>
    <w:p w14:paraId="4EAD75F2" w14:textId="16BF65E7" w:rsidR="003F452E" w:rsidRPr="008A24CD" w:rsidRDefault="00683DD7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gromadzeniu nadkładu na stałych i tymczasowych zwałowiskach wewnętrznych, na tymczasowym zwałowisku zewnętrznym o wysokości nie większej niż 10</w:t>
      </w:r>
      <w:r w:rsidR="00415064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m i</w:t>
      </w:r>
      <w:r w:rsidR="00415064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powierzchni nie przekraczającej 0.80 ha</w:t>
      </w:r>
      <w:r w:rsidR="009B50CB" w:rsidRPr="008A24CD">
        <w:rPr>
          <w:rFonts w:ascii="Times New Roman" w:hAnsi="Times New Roman"/>
          <w:lang w:val="pl-PL"/>
        </w:rPr>
        <w:t>, w granicach projektowanego obszaru górniczego oraz na wałach ochronnych o parametrach: szerokość podstawy ok. 3</w:t>
      </w:r>
      <w:r w:rsidR="00415064">
        <w:rPr>
          <w:rFonts w:ascii="Times New Roman" w:hAnsi="Times New Roman"/>
          <w:lang w:val="pl-PL"/>
        </w:rPr>
        <w:t> </w:t>
      </w:r>
      <w:r w:rsidR="009B50CB" w:rsidRPr="008A24CD">
        <w:rPr>
          <w:rFonts w:ascii="Times New Roman" w:hAnsi="Times New Roman"/>
          <w:lang w:val="pl-PL"/>
        </w:rPr>
        <w:t>m i</w:t>
      </w:r>
      <w:r w:rsidR="00415064">
        <w:rPr>
          <w:rFonts w:ascii="Times New Roman" w:hAnsi="Times New Roman"/>
          <w:lang w:val="pl-PL"/>
        </w:rPr>
        <w:t> </w:t>
      </w:r>
      <w:r w:rsidR="009B50CB" w:rsidRPr="008A24CD">
        <w:rPr>
          <w:rFonts w:ascii="Times New Roman" w:hAnsi="Times New Roman"/>
          <w:lang w:val="pl-PL"/>
        </w:rPr>
        <w:t>wysokości ok.1,5 m, zlokalizowanych wokół wyrobiska. Pozostałą</w:t>
      </w:r>
      <w:r w:rsidR="00754048" w:rsidRPr="008A24CD">
        <w:rPr>
          <w:rFonts w:ascii="Times New Roman" w:hAnsi="Times New Roman"/>
          <w:lang w:val="pl-PL"/>
        </w:rPr>
        <w:t xml:space="preserve"> część </w:t>
      </w:r>
      <w:r w:rsidR="00D22780" w:rsidRPr="008A24CD">
        <w:rPr>
          <w:rFonts w:ascii="Times New Roman" w:hAnsi="Times New Roman"/>
          <w:lang w:val="pl-PL"/>
        </w:rPr>
        <w:t>nadkładu wykorzystywać do prac niwelacyjnych, budowy pochylni transportowych lub przekazywać zewnętrznym odbiorc</w:t>
      </w:r>
      <w:r w:rsidR="00CA05FC">
        <w:rPr>
          <w:rFonts w:ascii="Times New Roman" w:hAnsi="Times New Roman"/>
          <w:lang w:val="pl-PL"/>
        </w:rPr>
        <w:t>om</w:t>
      </w:r>
      <w:r w:rsidR="00D22780" w:rsidRPr="008A24CD">
        <w:rPr>
          <w:rFonts w:ascii="Times New Roman" w:hAnsi="Times New Roman"/>
          <w:lang w:val="pl-PL"/>
        </w:rPr>
        <w:t xml:space="preserve">; </w:t>
      </w:r>
    </w:p>
    <w:p w14:paraId="638147C1" w14:textId="47487ECE" w:rsidR="00D22780" w:rsidRPr="008A24CD" w:rsidRDefault="00CA05FC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składowaniu nadkładu i humusu w sposób selektywny</w:t>
      </w:r>
      <w:r w:rsidR="00D22780" w:rsidRPr="008A24CD">
        <w:rPr>
          <w:rFonts w:ascii="Times New Roman" w:hAnsi="Times New Roman"/>
          <w:lang w:val="pl-PL"/>
        </w:rPr>
        <w:t>;</w:t>
      </w:r>
    </w:p>
    <w:p w14:paraId="63D39006" w14:textId="35142423" w:rsidR="00D22780" w:rsidRPr="008A24CD" w:rsidRDefault="00D22780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eksploatacji złoża z pozostawieniem pasów ochronnych o szerokości minimum 6 m od granicy działek, do których Inwestor posiada tytuł prawny i minimum 10 m od dróg publicznych</w:t>
      </w:r>
      <w:r w:rsidR="00DB4074" w:rsidRPr="008A24CD">
        <w:rPr>
          <w:rFonts w:ascii="Times New Roman" w:hAnsi="Times New Roman"/>
          <w:lang w:val="pl-PL"/>
        </w:rPr>
        <w:t xml:space="preserve"> za wyjątkiem północno</w:t>
      </w:r>
      <w:r w:rsidR="00CA05FC">
        <w:rPr>
          <w:rFonts w:ascii="Times New Roman" w:hAnsi="Times New Roman"/>
          <w:lang w:val="pl-PL"/>
        </w:rPr>
        <w:t>-</w:t>
      </w:r>
      <w:r w:rsidR="00DB4074" w:rsidRPr="008A24CD">
        <w:rPr>
          <w:rFonts w:ascii="Times New Roman" w:hAnsi="Times New Roman"/>
          <w:lang w:val="pl-PL"/>
        </w:rPr>
        <w:t>zachodniego fragmentu wyrobiska, gdzie pas ochronny został zmniejszony do 2 m na mocy obustronnego porozumienia z</w:t>
      </w:r>
      <w:r w:rsidR="00415064">
        <w:rPr>
          <w:rFonts w:ascii="Times New Roman" w:hAnsi="Times New Roman"/>
          <w:lang w:val="pl-PL"/>
        </w:rPr>
        <w:t> </w:t>
      </w:r>
      <w:r w:rsidR="00DB4074" w:rsidRPr="008A24CD">
        <w:rPr>
          <w:rFonts w:ascii="Times New Roman" w:hAnsi="Times New Roman"/>
          <w:lang w:val="pl-PL"/>
        </w:rPr>
        <w:t>Kopalni</w:t>
      </w:r>
      <w:r w:rsidR="003E491E">
        <w:rPr>
          <w:rFonts w:ascii="Times New Roman" w:hAnsi="Times New Roman"/>
          <w:lang w:val="pl-PL"/>
        </w:rPr>
        <w:t>ą</w:t>
      </w:r>
      <w:r w:rsidR="00DB4074" w:rsidRPr="008A24CD">
        <w:rPr>
          <w:rFonts w:ascii="Times New Roman" w:hAnsi="Times New Roman"/>
          <w:lang w:val="pl-PL"/>
        </w:rPr>
        <w:t xml:space="preserve"> „Laskowa</w:t>
      </w:r>
      <w:r w:rsidR="005270B3">
        <w:rPr>
          <w:rFonts w:ascii="Times New Roman" w:hAnsi="Times New Roman"/>
          <w:lang w:val="pl-PL"/>
        </w:rPr>
        <w:t xml:space="preserve"> Góra</w:t>
      </w:r>
      <w:r w:rsidR="00DB4074" w:rsidRPr="008A24CD">
        <w:rPr>
          <w:rFonts w:ascii="Times New Roman" w:hAnsi="Times New Roman"/>
          <w:lang w:val="pl-PL"/>
        </w:rPr>
        <w:t>”;</w:t>
      </w:r>
    </w:p>
    <w:p w14:paraId="4DB99136" w14:textId="60BB1D57" w:rsidR="00DB4074" w:rsidRPr="008A24CD" w:rsidRDefault="00DB4074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produkcji w mobilnym zestawie krusząco-sortującym, składającym się z</w:t>
      </w:r>
      <w:r w:rsidR="00415064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 xml:space="preserve">kruszarki, przesiewacza i 6 szt. </w:t>
      </w:r>
      <w:r w:rsidR="00873C59">
        <w:rPr>
          <w:rFonts w:ascii="Times New Roman" w:hAnsi="Times New Roman"/>
          <w:lang w:val="pl-PL"/>
        </w:rPr>
        <w:t>t</w:t>
      </w:r>
      <w:r w:rsidRPr="008A24CD">
        <w:rPr>
          <w:rFonts w:ascii="Times New Roman" w:hAnsi="Times New Roman"/>
          <w:lang w:val="pl-PL"/>
        </w:rPr>
        <w:t>aśmociągów, usytuowanym wyłącznie w wyrobisku;</w:t>
      </w:r>
    </w:p>
    <w:p w14:paraId="595BE090" w14:textId="05618F84" w:rsidR="00DB4074" w:rsidRPr="008A24CD" w:rsidRDefault="0064735B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obsługi kominikacyjnej kopalni poprzez istniejący zjazd z drogi wojewódzkiej nr 748</w:t>
      </w:r>
      <w:r w:rsidR="005270B3">
        <w:rPr>
          <w:rFonts w:ascii="Times New Roman" w:hAnsi="Times New Roman"/>
          <w:lang w:val="pl-PL"/>
        </w:rPr>
        <w:t>;</w:t>
      </w:r>
    </w:p>
    <w:p w14:paraId="0E20ECE2" w14:textId="4341E7D4" w:rsidR="00C13520" w:rsidRPr="008A24CD" w:rsidRDefault="00C13520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utwardzeniu, utrzymywaniu w czystości i zraszaniu dróg wewnętrznych, technologicznych i transportowych;</w:t>
      </w:r>
    </w:p>
    <w:p w14:paraId="52678EE0" w14:textId="4F4608B9" w:rsidR="00C13520" w:rsidRPr="008A24CD" w:rsidRDefault="00C13520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stosowaniu systemu zraszania na mobilnym zestawie krusząc</w:t>
      </w:r>
      <w:r w:rsidR="00CA05FC">
        <w:rPr>
          <w:rFonts w:ascii="Times New Roman" w:hAnsi="Times New Roman"/>
          <w:lang w:val="pl-PL"/>
        </w:rPr>
        <w:t>o</w:t>
      </w:r>
      <w:r w:rsidRPr="008A24CD">
        <w:rPr>
          <w:rFonts w:ascii="Times New Roman" w:hAnsi="Times New Roman"/>
          <w:lang w:val="pl-PL"/>
        </w:rPr>
        <w:t>-sortującym,</w:t>
      </w:r>
      <w:r w:rsidR="005270B3">
        <w:rPr>
          <w:rFonts w:ascii="Times New Roman" w:hAnsi="Times New Roman"/>
          <w:lang w:val="pl-PL"/>
        </w:rPr>
        <w:t xml:space="preserve"> a</w:t>
      </w:r>
      <w:r w:rsidRPr="008A24CD">
        <w:rPr>
          <w:rFonts w:ascii="Times New Roman" w:hAnsi="Times New Roman"/>
          <w:lang w:val="pl-PL"/>
        </w:rPr>
        <w:t xml:space="preserve"> </w:t>
      </w:r>
      <w:r w:rsidR="00BB411F" w:rsidRPr="008A24CD">
        <w:rPr>
          <w:rFonts w:ascii="Times New Roman" w:hAnsi="Times New Roman"/>
          <w:lang w:val="pl-PL"/>
        </w:rPr>
        <w:t>na końcach taśmociągów najdrobniejszej frakcji</w:t>
      </w:r>
      <w:r w:rsidR="005270B3">
        <w:rPr>
          <w:rFonts w:ascii="Times New Roman" w:hAnsi="Times New Roman"/>
          <w:lang w:val="pl-PL"/>
        </w:rPr>
        <w:t>-</w:t>
      </w:r>
      <w:r w:rsidR="00BB411F" w:rsidRPr="008A24CD">
        <w:rPr>
          <w:rFonts w:ascii="Times New Roman" w:hAnsi="Times New Roman"/>
          <w:lang w:val="pl-PL"/>
        </w:rPr>
        <w:t xml:space="preserve"> stosowa</w:t>
      </w:r>
      <w:r w:rsidR="00CA05FC">
        <w:rPr>
          <w:rFonts w:ascii="Times New Roman" w:hAnsi="Times New Roman"/>
          <w:lang w:val="pl-PL"/>
        </w:rPr>
        <w:t>niu</w:t>
      </w:r>
      <w:r w:rsidR="00BB411F" w:rsidRPr="008A24CD">
        <w:rPr>
          <w:rFonts w:ascii="Times New Roman" w:hAnsi="Times New Roman"/>
          <w:lang w:val="pl-PL"/>
        </w:rPr>
        <w:t xml:space="preserve"> rękaw</w:t>
      </w:r>
      <w:r w:rsidR="00CA05FC">
        <w:rPr>
          <w:rFonts w:ascii="Times New Roman" w:hAnsi="Times New Roman"/>
          <w:lang w:val="pl-PL"/>
        </w:rPr>
        <w:t>ów</w:t>
      </w:r>
      <w:r w:rsidR="00BB411F" w:rsidRPr="008A24CD">
        <w:rPr>
          <w:rFonts w:ascii="Times New Roman" w:hAnsi="Times New Roman"/>
          <w:lang w:val="pl-PL"/>
        </w:rPr>
        <w:t xml:space="preserve"> zsypow</w:t>
      </w:r>
      <w:r w:rsidR="00CA05FC">
        <w:rPr>
          <w:rFonts w:ascii="Times New Roman" w:hAnsi="Times New Roman"/>
          <w:lang w:val="pl-PL"/>
        </w:rPr>
        <w:t>ych</w:t>
      </w:r>
      <w:r w:rsidR="00BB411F" w:rsidRPr="008A24CD">
        <w:rPr>
          <w:rFonts w:ascii="Times New Roman" w:hAnsi="Times New Roman"/>
          <w:lang w:val="pl-PL"/>
        </w:rPr>
        <w:t>;</w:t>
      </w:r>
    </w:p>
    <w:p w14:paraId="14A2EFB2" w14:textId="77777777" w:rsidR="00BB411F" w:rsidRPr="008A24CD" w:rsidRDefault="00BB411F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zabezpieczaniu ładunku  podczas transportu  przed powstaniem emisji;</w:t>
      </w:r>
    </w:p>
    <w:p w14:paraId="0E4E37DA" w14:textId="77777777" w:rsidR="002B1105" w:rsidRPr="008A24CD" w:rsidRDefault="002B1105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nie zostawieniu podczas przerw w pracy pojazdów i maszyn na biegu jałowum;</w:t>
      </w:r>
    </w:p>
    <w:p w14:paraId="49EC45AE" w14:textId="0A9B56B3" w:rsidR="00BB411F" w:rsidRPr="008A24CD" w:rsidRDefault="003A4CD9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monitoringu ilości i składu wód z</w:t>
      </w:r>
      <w:r w:rsidR="00415064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 xml:space="preserve">odwadniania z częstotliwością nie mniejszą niż raz na dwa miesiące. Wody zgromadzone w rząpiu </w:t>
      </w:r>
      <w:r w:rsidR="00E627B8" w:rsidRPr="008A24CD">
        <w:rPr>
          <w:rFonts w:ascii="Times New Roman" w:hAnsi="Times New Roman"/>
          <w:lang w:val="pl-PL"/>
        </w:rPr>
        <w:t>wykorzystywać przede wszystkim do zraszania na terenie kopalni;</w:t>
      </w:r>
    </w:p>
    <w:p w14:paraId="35D007EC" w14:textId="77EC4AFE" w:rsidR="003A4CD9" w:rsidRPr="008A24CD" w:rsidRDefault="003A4CD9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monitoringu poziomu</w:t>
      </w:r>
      <w:r w:rsidR="00CA05FC">
        <w:rPr>
          <w:rFonts w:ascii="Times New Roman" w:hAnsi="Times New Roman"/>
          <w:lang w:val="pl-PL"/>
        </w:rPr>
        <w:t xml:space="preserve"> zwierciadła</w:t>
      </w:r>
      <w:r w:rsidRPr="008A24CD">
        <w:rPr>
          <w:rFonts w:ascii="Times New Roman" w:hAnsi="Times New Roman"/>
          <w:lang w:val="pl-PL"/>
        </w:rPr>
        <w:t xml:space="preserve"> wody w otworze hydrogeologiczno</w:t>
      </w:r>
      <w:r w:rsidR="00CA05FC">
        <w:rPr>
          <w:rFonts w:ascii="Times New Roman" w:hAnsi="Times New Roman"/>
          <w:lang w:val="pl-PL"/>
        </w:rPr>
        <w:t>-</w:t>
      </w:r>
      <w:r w:rsidRPr="008A24CD">
        <w:rPr>
          <w:rFonts w:ascii="Times New Roman" w:hAnsi="Times New Roman"/>
          <w:lang w:val="pl-PL"/>
        </w:rPr>
        <w:t>złożowym HZ-3</w:t>
      </w:r>
      <w:r w:rsidR="00E23C18" w:rsidRPr="008A24CD">
        <w:rPr>
          <w:rFonts w:ascii="Times New Roman" w:hAnsi="Times New Roman"/>
          <w:lang w:val="pl-PL"/>
        </w:rPr>
        <w:t>;</w:t>
      </w:r>
    </w:p>
    <w:p w14:paraId="3B480623" w14:textId="5FFC4635" w:rsidR="00E23C18" w:rsidRPr="008A24CD" w:rsidRDefault="00E23C18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 xml:space="preserve">zapewnieniu odpowiedniego stanu technicznego pracujących w wyrobisku urządzeń, maszyn i pojazdów. Przy wymianie oleju z urządzeń należy stosować wanny spustowe; </w:t>
      </w:r>
    </w:p>
    <w:p w14:paraId="0A49D488" w14:textId="664BE73C" w:rsidR="00E23C18" w:rsidRPr="008A24CD" w:rsidRDefault="00E23C18" w:rsidP="00225E9C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magazynowaniu materiałów pędnych oraz olejów i smarów na terenie zaplecza technicznego w zamkni</w:t>
      </w:r>
      <w:r w:rsidR="00CA05FC">
        <w:rPr>
          <w:rFonts w:ascii="Times New Roman" w:hAnsi="Times New Roman"/>
          <w:lang w:val="pl-PL"/>
        </w:rPr>
        <w:t>ę</w:t>
      </w:r>
      <w:r w:rsidRPr="008A24CD">
        <w:rPr>
          <w:rFonts w:ascii="Times New Roman" w:hAnsi="Times New Roman"/>
          <w:lang w:val="pl-PL"/>
        </w:rPr>
        <w:t xml:space="preserve">tych i szczelnych pojemnikach. </w:t>
      </w:r>
      <w:r w:rsidR="00CA05FC">
        <w:rPr>
          <w:rFonts w:ascii="Times New Roman" w:hAnsi="Times New Roman"/>
          <w:lang w:val="pl-PL"/>
        </w:rPr>
        <w:t>Prowadzeniu t</w:t>
      </w:r>
      <w:r w:rsidRPr="008A24CD">
        <w:rPr>
          <w:rFonts w:ascii="Times New Roman" w:hAnsi="Times New Roman"/>
          <w:lang w:val="pl-PL"/>
        </w:rPr>
        <w:t>ankowani</w:t>
      </w:r>
      <w:r w:rsidR="00CA05FC">
        <w:rPr>
          <w:rFonts w:ascii="Times New Roman" w:hAnsi="Times New Roman"/>
          <w:lang w:val="pl-PL"/>
        </w:rPr>
        <w:t>a</w:t>
      </w:r>
      <w:r w:rsidRPr="008A24CD">
        <w:rPr>
          <w:rFonts w:ascii="Times New Roman" w:hAnsi="Times New Roman"/>
          <w:lang w:val="pl-PL"/>
        </w:rPr>
        <w:t xml:space="preserve"> i</w:t>
      </w:r>
      <w:r w:rsidR="00CA05FC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serwisowani</w:t>
      </w:r>
      <w:r w:rsidR="00CA05FC">
        <w:rPr>
          <w:rFonts w:ascii="Times New Roman" w:hAnsi="Times New Roman"/>
          <w:lang w:val="pl-PL"/>
        </w:rPr>
        <w:t xml:space="preserve">a </w:t>
      </w:r>
      <w:r w:rsidRPr="008A24CD">
        <w:rPr>
          <w:rFonts w:ascii="Times New Roman" w:hAnsi="Times New Roman"/>
          <w:lang w:val="pl-PL"/>
        </w:rPr>
        <w:t>na terenie utwardzonym</w:t>
      </w:r>
      <w:r w:rsidR="00CA05FC">
        <w:rPr>
          <w:rFonts w:ascii="Times New Roman" w:hAnsi="Times New Roman"/>
          <w:lang w:val="pl-PL"/>
        </w:rPr>
        <w:t>,</w:t>
      </w:r>
      <w:r w:rsidRPr="008A24CD">
        <w:rPr>
          <w:rFonts w:ascii="Times New Roman" w:hAnsi="Times New Roman"/>
          <w:lang w:val="pl-PL"/>
        </w:rPr>
        <w:t xml:space="preserve"> umożliwiającym ujęcie ewentualnych wycieków substancji ropopochodnych</w:t>
      </w:r>
      <w:r w:rsidR="00225E9C" w:rsidRPr="008A24CD">
        <w:rPr>
          <w:rFonts w:ascii="Times New Roman" w:hAnsi="Times New Roman"/>
          <w:lang w:val="pl-PL"/>
        </w:rPr>
        <w:t>;</w:t>
      </w:r>
    </w:p>
    <w:p w14:paraId="532B23F5" w14:textId="14247B3A" w:rsidR="00E23C18" w:rsidRPr="008A24CD" w:rsidRDefault="00225E9C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wyposażeniu zakładu górniczego w środki do usuwania lub neutralizacji zanieczyszczeń ropopochodnych;</w:t>
      </w:r>
    </w:p>
    <w:p w14:paraId="00E9AAB7" w14:textId="669F62C2" w:rsidR="00225E9C" w:rsidRPr="008A24CD" w:rsidRDefault="00225E9C" w:rsidP="000A070D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magazynowaniu odpadów na terenie zaplecza technicznego kopalni w wyznaczonym na ten cel miejscu o utwardzonym podłożu. Odpady niebezpieczne magazynować w</w:t>
      </w:r>
      <w:r w:rsidR="005270B3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przeznaczonych do tego pojemnikach chronionych przed działaniem czynników atmosferycznych i osobami nieupoważnionymi</w:t>
      </w:r>
      <w:r w:rsidR="000A070D" w:rsidRPr="008A24CD">
        <w:rPr>
          <w:rFonts w:ascii="Times New Roman" w:hAnsi="Times New Roman"/>
          <w:lang w:val="pl-PL"/>
        </w:rPr>
        <w:t>. Ścieki bytowe gromadzić w szczelnym zbiorniku bezodpływowym.</w:t>
      </w:r>
    </w:p>
    <w:p w14:paraId="2A8A9253" w14:textId="77777777" w:rsidR="00380346" w:rsidRPr="00571C62" w:rsidRDefault="00380346" w:rsidP="00380346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11C4708" w14:textId="77777777" w:rsidR="00380346" w:rsidRPr="00FC5619" w:rsidRDefault="00380346" w:rsidP="00380346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Koncesja nie zwalnia p</w:t>
      </w:r>
      <w:r w:rsidRPr="00FC5619">
        <w:rPr>
          <w:rFonts w:ascii="Times New Roman" w:hAnsi="Times New Roman"/>
          <w:sz w:val="24"/>
          <w:szCs w:val="24"/>
          <w:lang w:val="pl-PL"/>
        </w:rPr>
        <w:t>rzedsiębiorcy z wymagań określonych w przepisach odrębnych, a zwłaszcza w zakresie ochrony środowiska, prawa wodnego, ochrony gruntów rolnych i leśnych, o zagospodarowaniu przestrzennym oraz o odpadach i odpadach wydobywczych.</w:t>
      </w:r>
    </w:p>
    <w:p w14:paraId="54DDBF51" w14:textId="77777777" w:rsidR="00380346" w:rsidRPr="00CC51A0" w:rsidRDefault="00380346" w:rsidP="00380346">
      <w:pPr>
        <w:jc w:val="center"/>
        <w:rPr>
          <w:rFonts w:ascii="Times New Roman" w:hAnsi="Times New Roman"/>
          <w:b/>
          <w:lang w:val="pl-PL"/>
        </w:rPr>
      </w:pPr>
      <w:r w:rsidRPr="00CC51A0">
        <w:rPr>
          <w:rFonts w:ascii="Times New Roman" w:hAnsi="Times New Roman"/>
          <w:b/>
          <w:lang w:val="pl-PL"/>
        </w:rPr>
        <w:lastRenderedPageBreak/>
        <w:t>Uzasadnienie</w:t>
      </w:r>
    </w:p>
    <w:p w14:paraId="5A017638" w14:textId="0B9C87AB" w:rsidR="00B84A40" w:rsidRDefault="005C0571" w:rsidP="00CA05FC">
      <w:pPr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lang w:val="pl-PL"/>
        </w:rPr>
        <w:t>Kopalnia Kostomłoty Sp. z o.o.</w:t>
      </w:r>
      <w:r w:rsidR="00B84A40">
        <w:rPr>
          <w:rFonts w:ascii="Times New Roman" w:hAnsi="Times New Roman"/>
          <w:lang w:val="pl-PL"/>
        </w:rPr>
        <w:t xml:space="preserve"> </w:t>
      </w:r>
      <w:r w:rsidR="00226A18">
        <w:rPr>
          <w:rFonts w:ascii="Times New Roman" w:hAnsi="Times New Roman"/>
          <w:lang w:val="pl-PL"/>
        </w:rPr>
        <w:t>z siedzibą w</w:t>
      </w:r>
      <w:r w:rsidR="000B21BB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Kostomłotach Drugich</w:t>
      </w:r>
      <w:r w:rsidR="00226A18">
        <w:rPr>
          <w:rFonts w:ascii="Times New Roman" w:hAnsi="Times New Roman"/>
          <w:lang w:val="pl-PL"/>
        </w:rPr>
        <w:t xml:space="preserve">, przy ul. </w:t>
      </w:r>
      <w:r>
        <w:rPr>
          <w:rFonts w:ascii="Times New Roman" w:hAnsi="Times New Roman"/>
          <w:lang w:val="pl-PL"/>
        </w:rPr>
        <w:t>Bugajskiej 89</w:t>
      </w:r>
      <w:r w:rsidR="00EF4283">
        <w:rPr>
          <w:rFonts w:ascii="Times New Roman" w:hAnsi="Times New Roman"/>
          <w:lang w:val="pl-PL"/>
        </w:rPr>
        <w:t>,</w:t>
      </w:r>
      <w:r w:rsidR="008D7594">
        <w:rPr>
          <w:rFonts w:ascii="Times New Roman" w:hAnsi="Times New Roman"/>
          <w:lang w:val="pl-PL"/>
        </w:rPr>
        <w:t xml:space="preserve"> wnioskiem z dnia</w:t>
      </w:r>
      <w:r w:rsidR="00CD1C90">
        <w:rPr>
          <w:rFonts w:ascii="Times New Roman" w:hAnsi="Times New Roman"/>
          <w:lang w:val="pl-PL"/>
        </w:rPr>
        <w:t xml:space="preserve"> 23.05.2022 r.</w:t>
      </w:r>
      <w:r w:rsidR="00106806">
        <w:rPr>
          <w:rFonts w:ascii="Times New Roman" w:hAnsi="Times New Roman"/>
          <w:lang w:val="pl-PL"/>
        </w:rPr>
        <w:t>, ostatecznie uzupełnionym przy piśmie z dnia</w:t>
      </w:r>
      <w:r w:rsidR="00CD1C90">
        <w:rPr>
          <w:rFonts w:ascii="Times New Roman" w:hAnsi="Times New Roman"/>
          <w:lang w:val="pl-PL"/>
        </w:rPr>
        <w:t xml:space="preserve"> </w:t>
      </w:r>
      <w:r w:rsidR="00CD1C90" w:rsidRPr="0036314C">
        <w:rPr>
          <w:rFonts w:ascii="Times New Roman" w:hAnsi="Times New Roman"/>
          <w:lang w:val="pl-PL"/>
        </w:rPr>
        <w:t>27.07.2022 r.</w:t>
      </w:r>
      <w:r w:rsidR="00106806" w:rsidRPr="0036314C">
        <w:rPr>
          <w:rFonts w:ascii="Times New Roman" w:hAnsi="Times New Roman"/>
          <w:lang w:val="pl-PL"/>
        </w:rPr>
        <w:t xml:space="preserve">, </w:t>
      </w:r>
      <w:r w:rsidR="00EF4283">
        <w:rPr>
          <w:rFonts w:ascii="Times New Roman" w:hAnsi="Times New Roman"/>
          <w:lang w:val="pl-PL"/>
        </w:rPr>
        <w:t>wystąpił</w:t>
      </w:r>
      <w:r w:rsidR="00B84A40">
        <w:rPr>
          <w:rFonts w:ascii="Times New Roman" w:hAnsi="Times New Roman"/>
          <w:lang w:val="pl-PL"/>
        </w:rPr>
        <w:t>a</w:t>
      </w:r>
      <w:r w:rsidR="00EF4283" w:rsidRPr="00815BB4">
        <w:rPr>
          <w:rFonts w:ascii="Times New Roman" w:hAnsi="Times New Roman"/>
          <w:lang w:val="pl-PL"/>
        </w:rPr>
        <w:t xml:space="preserve"> do Marszałka Województwa Świętokrzyskiego o zmianę koncesji</w:t>
      </w:r>
      <w:r w:rsidR="00EF4283">
        <w:rPr>
          <w:rFonts w:ascii="Times New Roman" w:hAnsi="Times New Roman"/>
          <w:lang w:val="pl-PL"/>
        </w:rPr>
        <w:t xml:space="preserve"> </w:t>
      </w:r>
      <w:r w:rsidR="00EA233B">
        <w:rPr>
          <w:rFonts w:ascii="Times New Roman" w:hAnsi="Times New Roman"/>
          <w:lang w:val="pl-PL"/>
        </w:rPr>
        <w:t xml:space="preserve">na wydobywanie wapieni </w:t>
      </w:r>
      <w:r w:rsidR="00B84A40">
        <w:rPr>
          <w:rFonts w:ascii="Times New Roman" w:hAnsi="Times New Roman"/>
          <w:lang w:val="pl-PL"/>
        </w:rPr>
        <w:t xml:space="preserve">i </w:t>
      </w:r>
      <w:r>
        <w:rPr>
          <w:rFonts w:ascii="Times New Roman" w:hAnsi="Times New Roman"/>
          <w:lang w:val="pl-PL"/>
        </w:rPr>
        <w:t>łupków</w:t>
      </w:r>
      <w:r w:rsidR="00B84A40">
        <w:rPr>
          <w:rFonts w:ascii="Times New Roman" w:hAnsi="Times New Roman"/>
          <w:lang w:val="pl-PL"/>
        </w:rPr>
        <w:t xml:space="preserve"> dewońskich </w:t>
      </w:r>
      <w:r w:rsidR="00EA233B">
        <w:rPr>
          <w:rFonts w:ascii="Times New Roman" w:hAnsi="Times New Roman"/>
          <w:lang w:val="pl-PL"/>
        </w:rPr>
        <w:t>z części złoża „</w:t>
      </w:r>
      <w:r w:rsidR="00A70518">
        <w:rPr>
          <w:rFonts w:ascii="Times New Roman" w:hAnsi="Times New Roman"/>
          <w:lang w:val="pl-PL"/>
        </w:rPr>
        <w:t>Kostomłoty</w:t>
      </w:r>
      <w:r w:rsidR="00EA233B">
        <w:rPr>
          <w:rFonts w:ascii="Times New Roman" w:hAnsi="Times New Roman"/>
          <w:lang w:val="pl-PL"/>
        </w:rPr>
        <w:t xml:space="preserve">”, położonego na gruntach miejscowości </w:t>
      </w:r>
      <w:r w:rsidR="00A70518">
        <w:rPr>
          <w:rFonts w:ascii="Times New Roman" w:hAnsi="Times New Roman"/>
          <w:lang w:val="pl-PL"/>
        </w:rPr>
        <w:t>Kostomłoty</w:t>
      </w:r>
      <w:r w:rsidR="00CD1C90">
        <w:rPr>
          <w:rFonts w:ascii="Times New Roman" w:hAnsi="Times New Roman"/>
          <w:lang w:val="pl-PL"/>
        </w:rPr>
        <w:t xml:space="preserve"> Drugie</w:t>
      </w:r>
      <w:r w:rsidR="00EA233B">
        <w:rPr>
          <w:rFonts w:ascii="Times New Roman" w:hAnsi="Times New Roman"/>
          <w:lang w:val="pl-PL"/>
        </w:rPr>
        <w:t xml:space="preserve">, w gminie </w:t>
      </w:r>
      <w:r w:rsidR="00CD1C90">
        <w:rPr>
          <w:rFonts w:ascii="Times New Roman" w:hAnsi="Times New Roman"/>
          <w:lang w:val="pl-PL"/>
        </w:rPr>
        <w:t>Miedziana Góra</w:t>
      </w:r>
      <w:r w:rsidR="00EA233B">
        <w:rPr>
          <w:rFonts w:ascii="Times New Roman" w:hAnsi="Times New Roman"/>
          <w:lang w:val="pl-PL"/>
        </w:rPr>
        <w:t xml:space="preserve">. </w:t>
      </w:r>
      <w:r w:rsidR="00516489" w:rsidRPr="00E42509">
        <w:rPr>
          <w:rFonts w:ascii="Times New Roman" w:hAnsi="Times New Roman"/>
          <w:color w:val="000000"/>
          <w:lang w:val="pl-PL"/>
        </w:rPr>
        <w:t xml:space="preserve">Z analizy przedłożonego wniosku wynika, że </w:t>
      </w:r>
      <w:bookmarkStart w:id="7" w:name="_Hlk114128077"/>
      <w:r w:rsidR="00516489" w:rsidRPr="00E42509">
        <w:rPr>
          <w:rFonts w:ascii="Times New Roman" w:hAnsi="Times New Roman"/>
          <w:color w:val="000000"/>
          <w:lang w:val="pl-PL"/>
        </w:rPr>
        <w:t>dotyczy</w:t>
      </w:r>
      <w:r w:rsidR="00CA05FC">
        <w:rPr>
          <w:rFonts w:ascii="Times New Roman" w:hAnsi="Times New Roman"/>
          <w:color w:val="000000"/>
          <w:lang w:val="pl-PL"/>
        </w:rPr>
        <w:t xml:space="preserve"> on</w:t>
      </w:r>
      <w:r w:rsidR="00516489" w:rsidRPr="00E42509">
        <w:rPr>
          <w:rFonts w:ascii="Times New Roman" w:hAnsi="Times New Roman"/>
          <w:color w:val="000000"/>
          <w:lang w:val="pl-PL"/>
        </w:rPr>
        <w:t xml:space="preserve"> </w:t>
      </w:r>
      <w:bookmarkStart w:id="8" w:name="_Hlk113522443"/>
      <w:r w:rsidR="00D9423C">
        <w:rPr>
          <w:rFonts w:ascii="Times New Roman" w:hAnsi="Times New Roman"/>
          <w:color w:val="000000"/>
          <w:lang w:val="pl-PL"/>
        </w:rPr>
        <w:t>poszerzenia powierzchniowego</w:t>
      </w:r>
      <w:r w:rsidR="00833178">
        <w:rPr>
          <w:rFonts w:ascii="Times New Roman" w:hAnsi="Times New Roman"/>
          <w:color w:val="000000"/>
          <w:lang w:val="pl-PL"/>
        </w:rPr>
        <w:t xml:space="preserve"> zakresu wydobycia </w:t>
      </w:r>
      <w:r w:rsidR="008B62BB">
        <w:rPr>
          <w:rFonts w:ascii="Times New Roman" w:hAnsi="Times New Roman"/>
          <w:color w:val="000000"/>
          <w:lang w:val="pl-PL"/>
        </w:rPr>
        <w:t>w</w:t>
      </w:r>
      <w:r w:rsidR="00833178">
        <w:rPr>
          <w:rFonts w:ascii="Times New Roman" w:hAnsi="Times New Roman"/>
          <w:color w:val="000000"/>
          <w:lang w:val="pl-PL"/>
        </w:rPr>
        <w:t xml:space="preserve"> </w:t>
      </w:r>
      <w:r w:rsidR="008B62BB">
        <w:rPr>
          <w:rFonts w:ascii="Times New Roman" w:hAnsi="Times New Roman"/>
          <w:color w:val="000000"/>
          <w:lang w:val="pl-PL"/>
        </w:rPr>
        <w:t>kierunku północnym i południowym,</w:t>
      </w:r>
      <w:r w:rsidR="00D9423C">
        <w:rPr>
          <w:rFonts w:ascii="Times New Roman" w:hAnsi="Times New Roman"/>
          <w:color w:val="000000"/>
          <w:lang w:val="pl-PL"/>
        </w:rPr>
        <w:t xml:space="preserve"> oraz </w:t>
      </w:r>
      <w:r w:rsidR="00CD1C90">
        <w:rPr>
          <w:rFonts w:ascii="Times New Roman" w:hAnsi="Times New Roman"/>
          <w:color w:val="000000"/>
          <w:lang w:val="pl-PL"/>
        </w:rPr>
        <w:t xml:space="preserve">pogłębienia eksploatacji do rzędnej </w:t>
      </w:r>
      <w:r w:rsidR="005270B3">
        <w:rPr>
          <w:rFonts w:ascii="Times New Roman" w:hAnsi="Times New Roman"/>
          <w:color w:val="000000"/>
          <w:lang w:val="pl-PL"/>
        </w:rPr>
        <w:t>+</w:t>
      </w:r>
      <w:r w:rsidR="00CD1C90">
        <w:rPr>
          <w:rFonts w:ascii="Times New Roman" w:hAnsi="Times New Roman"/>
          <w:color w:val="000000"/>
          <w:lang w:val="pl-PL"/>
        </w:rPr>
        <w:t>222 m n.p.m</w:t>
      </w:r>
      <w:bookmarkEnd w:id="8"/>
      <w:r w:rsidR="00CD1C90">
        <w:rPr>
          <w:rFonts w:ascii="Times New Roman" w:hAnsi="Times New Roman"/>
          <w:color w:val="000000"/>
          <w:lang w:val="pl-PL"/>
        </w:rPr>
        <w:t>.</w:t>
      </w:r>
      <w:bookmarkEnd w:id="7"/>
      <w:r w:rsidR="00CD1C90">
        <w:rPr>
          <w:rFonts w:ascii="Times New Roman" w:hAnsi="Times New Roman"/>
          <w:color w:val="000000"/>
          <w:lang w:val="pl-PL"/>
        </w:rPr>
        <w:t xml:space="preserve"> </w:t>
      </w:r>
      <w:r w:rsidR="00D9423C">
        <w:rPr>
          <w:rFonts w:ascii="Times New Roman" w:hAnsi="Times New Roman"/>
          <w:color w:val="000000"/>
          <w:lang w:val="pl-PL"/>
        </w:rPr>
        <w:t>Ponadto</w:t>
      </w:r>
      <w:r w:rsidR="00CD1C90">
        <w:rPr>
          <w:rFonts w:ascii="Times New Roman" w:hAnsi="Times New Roman"/>
          <w:color w:val="000000"/>
          <w:lang w:val="pl-PL"/>
        </w:rPr>
        <w:t xml:space="preserve"> eksploatacją</w:t>
      </w:r>
      <w:r w:rsidR="00D9423C">
        <w:rPr>
          <w:rFonts w:ascii="Times New Roman" w:hAnsi="Times New Roman"/>
          <w:color w:val="000000"/>
          <w:lang w:val="pl-PL"/>
        </w:rPr>
        <w:t xml:space="preserve"> zostaną objęte łupki dewońskie</w:t>
      </w:r>
      <w:r w:rsidR="00CA05FC">
        <w:rPr>
          <w:rFonts w:ascii="Times New Roman" w:hAnsi="Times New Roman"/>
          <w:color w:val="000000"/>
          <w:lang w:val="pl-PL"/>
        </w:rPr>
        <w:t xml:space="preserve"> jako </w:t>
      </w:r>
      <w:r w:rsidR="00D9423C">
        <w:rPr>
          <w:rFonts w:ascii="Times New Roman" w:hAnsi="Times New Roman"/>
          <w:color w:val="000000"/>
          <w:lang w:val="pl-PL"/>
        </w:rPr>
        <w:t>kopalina towarzysząca</w:t>
      </w:r>
      <w:r w:rsidR="00CA05FC">
        <w:rPr>
          <w:rFonts w:ascii="Times New Roman" w:hAnsi="Times New Roman"/>
          <w:color w:val="000000"/>
          <w:lang w:val="pl-PL"/>
        </w:rPr>
        <w:t>,</w:t>
      </w:r>
      <w:r w:rsidR="00CD1C90">
        <w:rPr>
          <w:rFonts w:ascii="Times New Roman" w:hAnsi="Times New Roman"/>
          <w:color w:val="000000"/>
          <w:lang w:val="pl-PL"/>
        </w:rPr>
        <w:t xml:space="preserve"> </w:t>
      </w:r>
      <w:r w:rsidR="008B62BB">
        <w:rPr>
          <w:rFonts w:ascii="Times New Roman" w:hAnsi="Times New Roman"/>
          <w:color w:val="000000"/>
          <w:lang w:val="pl-PL"/>
        </w:rPr>
        <w:t>udokumentowane</w:t>
      </w:r>
      <w:r w:rsidR="00CD1C90">
        <w:rPr>
          <w:rFonts w:ascii="Times New Roman" w:hAnsi="Times New Roman"/>
          <w:color w:val="000000"/>
          <w:lang w:val="pl-PL"/>
        </w:rPr>
        <w:t xml:space="preserve"> w</w:t>
      </w:r>
      <w:r w:rsidR="008B62BB">
        <w:rPr>
          <w:rFonts w:ascii="Times New Roman" w:hAnsi="Times New Roman"/>
          <w:color w:val="000000"/>
          <w:lang w:val="pl-PL"/>
        </w:rPr>
        <w:t> </w:t>
      </w:r>
      <w:r w:rsidR="008B62BB" w:rsidRPr="008B62BB">
        <w:rPr>
          <w:rFonts w:ascii="Times New Roman" w:hAnsi="Times New Roman"/>
          <w:i/>
          <w:iCs/>
          <w:color w:val="000000"/>
          <w:lang w:val="pl-PL"/>
        </w:rPr>
        <w:t>D</w:t>
      </w:r>
      <w:r w:rsidR="00CD1C90" w:rsidRPr="008B62BB">
        <w:rPr>
          <w:rFonts w:ascii="Times New Roman" w:hAnsi="Times New Roman"/>
          <w:i/>
          <w:iCs/>
          <w:color w:val="000000"/>
          <w:lang w:val="pl-PL"/>
        </w:rPr>
        <w:t>odatku nr 2 do dokumentacji geologicznej</w:t>
      </w:r>
      <w:r w:rsidR="00CD1C90">
        <w:rPr>
          <w:rFonts w:ascii="Times New Roman" w:hAnsi="Times New Roman"/>
          <w:color w:val="000000"/>
          <w:lang w:val="pl-PL"/>
        </w:rPr>
        <w:t xml:space="preserve">… </w:t>
      </w:r>
    </w:p>
    <w:p w14:paraId="05211C7D" w14:textId="154BC6D6" w:rsidR="00380346" w:rsidRDefault="00380346" w:rsidP="00380346">
      <w:pPr>
        <w:ind w:firstLine="708"/>
        <w:jc w:val="both"/>
        <w:rPr>
          <w:rFonts w:ascii="Times New Roman" w:hAnsi="Times New Roman"/>
          <w:lang w:val="pl-PL"/>
        </w:rPr>
      </w:pPr>
      <w:r w:rsidRPr="00FB0EB1">
        <w:rPr>
          <w:rFonts w:ascii="Times New Roman" w:hAnsi="Times New Roman"/>
          <w:lang w:val="pl-PL"/>
        </w:rPr>
        <w:t xml:space="preserve">We wniosku o zmianę koncesji na wydobywanie </w:t>
      </w:r>
      <w:r>
        <w:rPr>
          <w:rFonts w:ascii="Times New Roman" w:hAnsi="Times New Roman"/>
          <w:lang w:val="pl-PL"/>
        </w:rPr>
        <w:t>wapieni</w:t>
      </w:r>
      <w:r w:rsidR="00B84A40">
        <w:rPr>
          <w:rFonts w:ascii="Times New Roman" w:hAnsi="Times New Roman"/>
          <w:lang w:val="pl-PL"/>
        </w:rPr>
        <w:t xml:space="preserve"> i </w:t>
      </w:r>
      <w:r w:rsidR="00D9423C">
        <w:rPr>
          <w:rFonts w:ascii="Times New Roman" w:hAnsi="Times New Roman"/>
          <w:lang w:val="pl-PL"/>
        </w:rPr>
        <w:t>łupków</w:t>
      </w:r>
      <w:r>
        <w:rPr>
          <w:rFonts w:ascii="Times New Roman" w:hAnsi="Times New Roman"/>
          <w:lang w:val="pl-PL"/>
        </w:rPr>
        <w:t xml:space="preserve"> </w:t>
      </w:r>
      <w:r w:rsidR="00CA05FC">
        <w:rPr>
          <w:rFonts w:ascii="Times New Roman" w:hAnsi="Times New Roman"/>
          <w:lang w:val="pl-PL"/>
        </w:rPr>
        <w:t>z części</w:t>
      </w:r>
      <w:r w:rsidRPr="00FB0EB1">
        <w:rPr>
          <w:rFonts w:ascii="Times New Roman" w:hAnsi="Times New Roman"/>
          <w:lang w:val="pl-PL"/>
        </w:rPr>
        <w:t xml:space="preserve"> złoża „</w:t>
      </w:r>
      <w:r w:rsidR="00A70518">
        <w:rPr>
          <w:rFonts w:ascii="Times New Roman" w:hAnsi="Times New Roman"/>
          <w:lang w:val="pl-PL"/>
        </w:rPr>
        <w:t>Kostomłoty</w:t>
      </w:r>
      <w:r w:rsidRPr="00FB0EB1">
        <w:rPr>
          <w:rFonts w:ascii="Times New Roman" w:hAnsi="Times New Roman"/>
          <w:lang w:val="pl-PL"/>
        </w:rPr>
        <w:t xml:space="preserve">” </w:t>
      </w:r>
      <w:r w:rsidR="00CD1C90">
        <w:rPr>
          <w:rFonts w:ascii="Times New Roman" w:hAnsi="Times New Roman"/>
          <w:lang w:val="pl-PL"/>
        </w:rPr>
        <w:t xml:space="preserve">Kopalnia Kostomłoty Sp. z o.o. </w:t>
      </w:r>
      <w:r w:rsidR="00233C9E" w:rsidRPr="00FB0EB1">
        <w:rPr>
          <w:rFonts w:ascii="Times New Roman" w:hAnsi="Times New Roman"/>
          <w:lang w:val="pl-PL"/>
        </w:rPr>
        <w:t>określ</w:t>
      </w:r>
      <w:r w:rsidR="00233C9E">
        <w:rPr>
          <w:rFonts w:ascii="Times New Roman" w:hAnsi="Times New Roman"/>
          <w:lang w:val="pl-PL"/>
        </w:rPr>
        <w:t>iła</w:t>
      </w:r>
      <w:r w:rsidR="00233C9E" w:rsidRPr="00FB0EB1">
        <w:rPr>
          <w:rFonts w:ascii="Times New Roman" w:hAnsi="Times New Roman"/>
          <w:lang w:val="pl-PL"/>
        </w:rPr>
        <w:t xml:space="preserve"> </w:t>
      </w:r>
      <w:r w:rsidR="00233C9E">
        <w:rPr>
          <w:rFonts w:ascii="Times New Roman" w:hAnsi="Times New Roman"/>
          <w:lang w:val="pl-PL"/>
        </w:rPr>
        <w:t xml:space="preserve">niezbędne informacje i dane, </w:t>
      </w:r>
      <w:r w:rsidR="00233C9E" w:rsidRPr="00FB0EB1">
        <w:rPr>
          <w:rFonts w:ascii="Times New Roman" w:hAnsi="Times New Roman"/>
          <w:lang w:val="pl-PL"/>
        </w:rPr>
        <w:t xml:space="preserve">wymagane przepisami </w:t>
      </w:r>
      <w:r w:rsidR="00233C9E">
        <w:rPr>
          <w:rFonts w:ascii="Times New Roman" w:hAnsi="Times New Roman"/>
          <w:lang w:val="pl-PL"/>
        </w:rPr>
        <w:t>Prawa</w:t>
      </w:r>
      <w:r w:rsidR="00233C9E" w:rsidRPr="00FB0EB1">
        <w:rPr>
          <w:rFonts w:ascii="Times New Roman" w:hAnsi="Times New Roman"/>
          <w:lang w:val="pl-PL"/>
        </w:rPr>
        <w:t xml:space="preserve"> geologiczne</w:t>
      </w:r>
      <w:r w:rsidR="00233C9E">
        <w:rPr>
          <w:rFonts w:ascii="Times New Roman" w:hAnsi="Times New Roman"/>
          <w:lang w:val="pl-PL"/>
        </w:rPr>
        <w:t>go</w:t>
      </w:r>
      <w:r w:rsidR="00233C9E" w:rsidRPr="00FB0EB1">
        <w:rPr>
          <w:rFonts w:ascii="Times New Roman" w:hAnsi="Times New Roman"/>
          <w:lang w:val="pl-PL"/>
        </w:rPr>
        <w:t xml:space="preserve"> i</w:t>
      </w:r>
      <w:r w:rsidR="00233C9E">
        <w:rPr>
          <w:rFonts w:ascii="Times New Roman" w:hAnsi="Times New Roman"/>
          <w:lang w:val="pl-PL"/>
        </w:rPr>
        <w:t> </w:t>
      </w:r>
      <w:r w:rsidR="00233C9E" w:rsidRPr="00FB0EB1">
        <w:rPr>
          <w:rFonts w:ascii="Times New Roman" w:hAnsi="Times New Roman"/>
          <w:lang w:val="pl-PL"/>
        </w:rPr>
        <w:t>górnicze</w:t>
      </w:r>
      <w:r w:rsidR="00233C9E">
        <w:rPr>
          <w:rFonts w:ascii="Times New Roman" w:hAnsi="Times New Roman"/>
          <w:lang w:val="pl-PL"/>
        </w:rPr>
        <w:t>go</w:t>
      </w:r>
      <w:r w:rsidR="00233C9E" w:rsidRPr="00FB0EB1">
        <w:rPr>
          <w:rFonts w:ascii="Times New Roman" w:hAnsi="Times New Roman"/>
          <w:lang w:val="pl-PL"/>
        </w:rPr>
        <w:t xml:space="preserve"> oraz dotycząc</w:t>
      </w:r>
      <w:r w:rsidR="005270B3">
        <w:rPr>
          <w:rFonts w:ascii="Times New Roman" w:hAnsi="Times New Roman"/>
          <w:lang w:val="pl-PL"/>
        </w:rPr>
        <w:t>e</w:t>
      </w:r>
      <w:r w:rsidR="00233C9E" w:rsidRPr="00FB0EB1">
        <w:rPr>
          <w:rFonts w:ascii="Times New Roman" w:hAnsi="Times New Roman"/>
          <w:lang w:val="pl-PL"/>
        </w:rPr>
        <w:t xml:space="preserve"> ochrony środowiska, a także dołączył</w:t>
      </w:r>
      <w:r w:rsidR="00204541">
        <w:rPr>
          <w:rFonts w:ascii="Times New Roman" w:hAnsi="Times New Roman"/>
          <w:lang w:val="pl-PL"/>
        </w:rPr>
        <w:t>a</w:t>
      </w:r>
      <w:r w:rsidR="00233C9E" w:rsidRPr="00FB0EB1">
        <w:rPr>
          <w:rFonts w:ascii="Times New Roman" w:hAnsi="Times New Roman"/>
          <w:lang w:val="pl-PL"/>
        </w:rPr>
        <w:t xml:space="preserve"> do niego konieczne dokumenty</w:t>
      </w:r>
      <w:r w:rsidRPr="00FB0EB1">
        <w:rPr>
          <w:rFonts w:ascii="Times New Roman" w:hAnsi="Times New Roman"/>
          <w:lang w:val="pl-PL"/>
        </w:rPr>
        <w:t xml:space="preserve">, </w:t>
      </w:r>
      <w:r w:rsidR="000B21BB">
        <w:rPr>
          <w:rFonts w:ascii="Times New Roman" w:hAnsi="Times New Roman"/>
          <w:lang w:val="pl-PL"/>
        </w:rPr>
        <w:t>w tym, m.in.</w:t>
      </w:r>
      <w:r w:rsidRPr="00FB0EB1">
        <w:rPr>
          <w:rFonts w:ascii="Times New Roman" w:hAnsi="Times New Roman"/>
          <w:lang w:val="pl-PL"/>
        </w:rPr>
        <w:t xml:space="preserve">: </w:t>
      </w:r>
    </w:p>
    <w:p w14:paraId="624E883A" w14:textId="7A716A43" w:rsidR="00380346" w:rsidRPr="00E50763" w:rsidRDefault="00061FD2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E50763">
        <w:rPr>
          <w:rFonts w:ascii="Times New Roman" w:hAnsi="Times New Roman"/>
          <w:lang w:val="pl-PL"/>
        </w:rPr>
        <w:t xml:space="preserve">nowy </w:t>
      </w:r>
      <w:r w:rsidR="00380346" w:rsidRPr="00E50763">
        <w:rPr>
          <w:rFonts w:ascii="Times New Roman" w:hAnsi="Times New Roman"/>
          <w:lang w:val="pl-PL"/>
        </w:rPr>
        <w:t xml:space="preserve">projekt zagospodarowania złoża </w:t>
      </w:r>
      <w:r w:rsidR="00064437" w:rsidRPr="00E50763">
        <w:rPr>
          <w:rFonts w:ascii="Times New Roman" w:hAnsi="Times New Roman"/>
          <w:lang w:val="pl-PL"/>
        </w:rPr>
        <w:t>„</w:t>
      </w:r>
      <w:r w:rsidR="00A70518">
        <w:rPr>
          <w:rFonts w:ascii="Times New Roman" w:hAnsi="Times New Roman"/>
          <w:lang w:val="pl-PL"/>
        </w:rPr>
        <w:t>Kostomłoty</w:t>
      </w:r>
      <w:r w:rsidRPr="00E50763">
        <w:rPr>
          <w:rFonts w:ascii="Times New Roman" w:hAnsi="Times New Roman"/>
          <w:lang w:val="pl-PL"/>
        </w:rPr>
        <w:t>”</w:t>
      </w:r>
      <w:r w:rsidR="00380346" w:rsidRPr="003E491E">
        <w:rPr>
          <w:rFonts w:ascii="Times New Roman" w:hAnsi="Times New Roman"/>
          <w:lang w:val="pl-PL"/>
        </w:rPr>
        <w:t xml:space="preserve">, </w:t>
      </w:r>
    </w:p>
    <w:p w14:paraId="79CD0856" w14:textId="16E1BC01" w:rsidR="00380346" w:rsidRPr="00E50763" w:rsidRDefault="004B3C10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E50763">
        <w:rPr>
          <w:rFonts w:ascii="Times New Roman" w:hAnsi="Times New Roman"/>
          <w:lang w:val="pl-PL"/>
        </w:rPr>
        <w:t xml:space="preserve">ostateczną </w:t>
      </w:r>
      <w:r w:rsidR="00380346" w:rsidRPr="00E50763">
        <w:rPr>
          <w:rFonts w:ascii="Times New Roman" w:hAnsi="Times New Roman"/>
          <w:lang w:val="pl-PL"/>
        </w:rPr>
        <w:t xml:space="preserve">decyzję </w:t>
      </w:r>
      <w:bookmarkStart w:id="9" w:name="_Hlk113454853"/>
      <w:bookmarkStart w:id="10" w:name="_Hlk106865043"/>
      <w:r w:rsidR="00CD1C90">
        <w:rPr>
          <w:rFonts w:ascii="Times New Roman" w:hAnsi="Times New Roman"/>
          <w:color w:val="000000"/>
          <w:lang w:val="pl-PL"/>
        </w:rPr>
        <w:t>Wójta Gminy Miedziana Góra z dnia 14.12.2021r., znak: IGPOS.6220.2.2020</w:t>
      </w:r>
      <w:bookmarkEnd w:id="9"/>
      <w:r w:rsidR="00233C9E" w:rsidRPr="00E50763">
        <w:rPr>
          <w:rFonts w:ascii="Times New Roman" w:hAnsi="Times New Roman"/>
          <w:lang w:val="pl-PL"/>
        </w:rPr>
        <w:t>, o</w:t>
      </w:r>
      <w:r w:rsidR="00064437" w:rsidRPr="00E50763">
        <w:rPr>
          <w:rFonts w:ascii="Times New Roman" w:hAnsi="Times New Roman"/>
          <w:lang w:val="pl-PL"/>
        </w:rPr>
        <w:t> </w:t>
      </w:r>
      <w:r w:rsidR="00233C9E" w:rsidRPr="00E50763">
        <w:rPr>
          <w:rFonts w:ascii="Times New Roman" w:hAnsi="Times New Roman"/>
          <w:lang w:val="pl-PL"/>
        </w:rPr>
        <w:t xml:space="preserve">środowiskowych uwarunkowaniach dla </w:t>
      </w:r>
      <w:r w:rsidR="00064437" w:rsidRPr="00E50763">
        <w:rPr>
          <w:rFonts w:ascii="Times New Roman" w:hAnsi="Times New Roman"/>
          <w:lang w:val="pl-PL"/>
        </w:rPr>
        <w:t xml:space="preserve">przedsięwzięcia </w:t>
      </w:r>
      <w:r w:rsidR="00CD209B">
        <w:rPr>
          <w:rFonts w:ascii="Times New Roman" w:hAnsi="Times New Roman"/>
          <w:lang w:val="pl-PL"/>
        </w:rPr>
        <w:t>pn.</w:t>
      </w:r>
      <w:r w:rsidR="00CA05FC">
        <w:rPr>
          <w:rFonts w:ascii="Times New Roman" w:hAnsi="Times New Roman"/>
          <w:lang w:val="pl-PL"/>
        </w:rPr>
        <w:t> </w:t>
      </w:r>
      <w:r w:rsidR="00CD209B">
        <w:rPr>
          <w:rFonts w:ascii="Times New Roman" w:hAnsi="Times New Roman"/>
          <w:lang w:val="pl-PL"/>
        </w:rPr>
        <w:t xml:space="preserve">Poszerzenie odkrywkowej eksploatacji złoża wapieni i łupków dewońskich ze złoża </w:t>
      </w:r>
      <w:r w:rsidR="00A70518">
        <w:rPr>
          <w:rFonts w:ascii="Times New Roman" w:hAnsi="Times New Roman"/>
          <w:lang w:val="pl-PL"/>
        </w:rPr>
        <w:t>Kostomłoty</w:t>
      </w:r>
      <w:r w:rsidR="00064437" w:rsidRPr="00E50763">
        <w:rPr>
          <w:rFonts w:ascii="Times New Roman" w:hAnsi="Times New Roman"/>
          <w:lang w:val="pl-PL"/>
        </w:rPr>
        <w:t>”</w:t>
      </w:r>
      <w:r w:rsidR="00380346" w:rsidRPr="00E50763">
        <w:rPr>
          <w:rFonts w:ascii="Times New Roman" w:hAnsi="Times New Roman"/>
          <w:lang w:val="pl-PL"/>
        </w:rPr>
        <w:t xml:space="preserve">, </w:t>
      </w:r>
      <w:bookmarkEnd w:id="10"/>
    </w:p>
    <w:p w14:paraId="49C5C154" w14:textId="73A3C53B" w:rsidR="00380346" w:rsidRPr="00E50763" w:rsidRDefault="00380346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E50763">
        <w:rPr>
          <w:rFonts w:ascii="Times New Roman" w:hAnsi="Times New Roman"/>
          <w:lang w:val="pl-PL"/>
        </w:rPr>
        <w:t xml:space="preserve">mapy projektowanych granic obszaru górniczego i terenu górniczego </w:t>
      </w:r>
      <w:r w:rsidRPr="00E50763">
        <w:rPr>
          <w:rFonts w:ascii="Times New Roman" w:hAnsi="Times New Roman"/>
          <w:iCs/>
          <w:lang w:val="pl-PL"/>
        </w:rPr>
        <w:t>„</w:t>
      </w:r>
      <w:r w:rsidR="00A70518">
        <w:rPr>
          <w:rFonts w:ascii="Times New Roman" w:hAnsi="Times New Roman"/>
          <w:iCs/>
          <w:lang w:val="pl-PL"/>
        </w:rPr>
        <w:t>Kostomłoty</w:t>
      </w:r>
      <w:r w:rsidR="00064437" w:rsidRPr="00E50763">
        <w:rPr>
          <w:rFonts w:ascii="Times New Roman" w:hAnsi="Times New Roman"/>
          <w:iCs/>
          <w:lang w:val="pl-PL"/>
        </w:rPr>
        <w:t xml:space="preserve"> V</w:t>
      </w:r>
      <w:r w:rsidRPr="00E50763">
        <w:rPr>
          <w:rFonts w:ascii="Times New Roman" w:hAnsi="Times New Roman"/>
          <w:iCs/>
          <w:lang w:val="pl-PL"/>
        </w:rPr>
        <w:t>”</w:t>
      </w:r>
      <w:r w:rsidRPr="00E50763">
        <w:rPr>
          <w:rFonts w:ascii="Times New Roman" w:hAnsi="Times New Roman"/>
          <w:lang w:val="pl-PL"/>
        </w:rPr>
        <w:t xml:space="preserve">, </w:t>
      </w:r>
    </w:p>
    <w:p w14:paraId="4296978C" w14:textId="484BDB60" w:rsidR="00375303" w:rsidRPr="008B62BB" w:rsidRDefault="00375303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8B62BB">
        <w:rPr>
          <w:rFonts w:ascii="Times New Roman" w:hAnsi="Times New Roman"/>
          <w:lang w:val="pl-PL"/>
        </w:rPr>
        <w:t>wypisy z rejestru gruntów działek</w:t>
      </w:r>
      <w:r w:rsidR="00CA05FC">
        <w:rPr>
          <w:rFonts w:ascii="Times New Roman" w:hAnsi="Times New Roman"/>
          <w:lang w:val="pl-PL"/>
        </w:rPr>
        <w:t xml:space="preserve"> ewid.</w:t>
      </w:r>
      <w:r w:rsidRPr="008B62BB">
        <w:rPr>
          <w:rFonts w:ascii="Times New Roman" w:hAnsi="Times New Roman"/>
          <w:lang w:val="pl-PL"/>
        </w:rPr>
        <w:t xml:space="preserve"> </w:t>
      </w:r>
      <w:r w:rsidR="00CA05FC">
        <w:rPr>
          <w:rFonts w:ascii="Times New Roman" w:hAnsi="Times New Roman"/>
          <w:lang w:val="pl-PL"/>
        </w:rPr>
        <w:t>n</w:t>
      </w:r>
      <w:r w:rsidRPr="008B62BB">
        <w:rPr>
          <w:rFonts w:ascii="Times New Roman" w:hAnsi="Times New Roman"/>
          <w:lang w:val="pl-PL"/>
        </w:rPr>
        <w:t>r</w:t>
      </w:r>
      <w:r w:rsidR="00CA05FC">
        <w:rPr>
          <w:rFonts w:ascii="Times New Roman" w:hAnsi="Times New Roman"/>
          <w:lang w:val="pl-PL"/>
        </w:rPr>
        <w:t>:</w:t>
      </w:r>
      <w:r w:rsidR="00064437" w:rsidRPr="008B62BB">
        <w:rPr>
          <w:rFonts w:ascii="Times New Roman" w:hAnsi="Times New Roman"/>
          <w:lang w:val="pl-PL"/>
        </w:rPr>
        <w:t xml:space="preserve"> </w:t>
      </w:r>
      <w:bookmarkStart w:id="11" w:name="_Hlk113521269"/>
      <w:r w:rsidR="004433F6" w:rsidRPr="008B62BB">
        <w:rPr>
          <w:rFonts w:ascii="Times New Roman" w:hAnsi="Times New Roman"/>
          <w:lang w:val="pl-PL"/>
        </w:rPr>
        <w:t>71/2, 71/3, 80/4, 27/76, 491/25, 491/3, 491/4, 491/5, 491/6, 491/7, 491/8, 493/2, 494/3, 496/1, 2055/5, 2055/3, 2058/5, 390/1, 339, 338, 337, 336, 335, 334, 340/4, 2216/1, 352/1353/9, 353/5</w:t>
      </w:r>
      <w:r w:rsidR="00E50763" w:rsidRPr="008B62BB">
        <w:rPr>
          <w:rFonts w:ascii="Times New Roman" w:hAnsi="Times New Roman"/>
          <w:lang w:val="pl-PL"/>
        </w:rPr>
        <w:t xml:space="preserve"> </w:t>
      </w:r>
      <w:bookmarkEnd w:id="11"/>
      <w:r w:rsidRPr="008B62BB">
        <w:rPr>
          <w:rFonts w:ascii="Times New Roman" w:hAnsi="Times New Roman"/>
          <w:lang w:val="pl-PL"/>
        </w:rPr>
        <w:t xml:space="preserve">położonych w miejscowości </w:t>
      </w:r>
      <w:r w:rsidR="00A70518" w:rsidRPr="008B62BB">
        <w:rPr>
          <w:rFonts w:ascii="Times New Roman" w:hAnsi="Times New Roman"/>
          <w:lang w:val="pl-PL"/>
        </w:rPr>
        <w:t>Kostomłoty</w:t>
      </w:r>
      <w:r w:rsidRPr="008B62BB">
        <w:rPr>
          <w:rFonts w:ascii="Times New Roman" w:hAnsi="Times New Roman"/>
          <w:lang w:val="pl-PL"/>
        </w:rPr>
        <w:t xml:space="preserve"> </w:t>
      </w:r>
      <w:r w:rsidR="007914EE" w:rsidRPr="008B62BB">
        <w:rPr>
          <w:rFonts w:ascii="Times New Roman" w:hAnsi="Times New Roman"/>
          <w:lang w:val="pl-PL"/>
        </w:rPr>
        <w:t xml:space="preserve">Drugie </w:t>
      </w:r>
      <w:r w:rsidRPr="008B62BB">
        <w:rPr>
          <w:rFonts w:ascii="Times New Roman" w:hAnsi="Times New Roman"/>
          <w:lang w:val="pl-PL"/>
        </w:rPr>
        <w:t xml:space="preserve">(obręb 0009), gminie </w:t>
      </w:r>
      <w:r w:rsidR="007914EE" w:rsidRPr="008B62BB">
        <w:rPr>
          <w:rFonts w:ascii="Times New Roman" w:hAnsi="Times New Roman"/>
          <w:lang w:val="pl-PL"/>
        </w:rPr>
        <w:t>Miedziana Góra</w:t>
      </w:r>
      <w:r w:rsidRPr="008B62BB">
        <w:rPr>
          <w:rFonts w:ascii="Times New Roman" w:hAnsi="Times New Roman"/>
          <w:lang w:val="pl-PL"/>
        </w:rPr>
        <w:t xml:space="preserve">, </w:t>
      </w:r>
      <w:r w:rsidR="00CA05FC">
        <w:rPr>
          <w:rFonts w:ascii="Times New Roman" w:hAnsi="Times New Roman"/>
          <w:lang w:val="pl-PL"/>
        </w:rPr>
        <w:t>objętych</w:t>
      </w:r>
      <w:r w:rsidRPr="008B62BB">
        <w:rPr>
          <w:rFonts w:ascii="Times New Roman" w:hAnsi="Times New Roman"/>
          <w:lang w:val="pl-PL"/>
        </w:rPr>
        <w:t xml:space="preserve"> granicami projektowanego obszaru górniczego „</w:t>
      </w:r>
      <w:r w:rsidR="00A70518" w:rsidRPr="008B62BB">
        <w:rPr>
          <w:rFonts w:ascii="Times New Roman" w:hAnsi="Times New Roman"/>
          <w:lang w:val="pl-PL"/>
        </w:rPr>
        <w:t>Kostomłoty</w:t>
      </w:r>
      <w:r w:rsidR="00064437" w:rsidRPr="008B62BB">
        <w:rPr>
          <w:rFonts w:ascii="Times New Roman" w:hAnsi="Times New Roman"/>
          <w:lang w:val="pl-PL"/>
        </w:rPr>
        <w:t xml:space="preserve"> V</w:t>
      </w:r>
      <w:r w:rsidRPr="008B62BB">
        <w:rPr>
          <w:rFonts w:ascii="Times New Roman" w:hAnsi="Times New Roman"/>
          <w:lang w:val="pl-PL"/>
        </w:rPr>
        <w:t>”</w:t>
      </w:r>
      <w:r w:rsidR="007914EE" w:rsidRPr="008B62BB">
        <w:rPr>
          <w:rFonts w:ascii="Times New Roman" w:hAnsi="Times New Roman"/>
          <w:lang w:val="pl-PL"/>
        </w:rPr>
        <w:t xml:space="preserve">, które potwierdzają </w:t>
      </w:r>
      <w:r w:rsidRPr="008B62BB">
        <w:rPr>
          <w:rFonts w:ascii="Times New Roman" w:hAnsi="Times New Roman"/>
          <w:lang w:val="pl-PL"/>
        </w:rPr>
        <w:t>prawa</w:t>
      </w:r>
      <w:r w:rsidR="004C773C" w:rsidRPr="008B62BB">
        <w:rPr>
          <w:rFonts w:ascii="Times New Roman" w:hAnsi="Times New Roman"/>
          <w:lang w:val="pl-PL"/>
        </w:rPr>
        <w:t xml:space="preserve"> Inwestora</w:t>
      </w:r>
      <w:r w:rsidRPr="008B62BB">
        <w:rPr>
          <w:rFonts w:ascii="Times New Roman" w:hAnsi="Times New Roman"/>
          <w:lang w:val="pl-PL"/>
        </w:rPr>
        <w:t xml:space="preserve"> do ww. działek</w:t>
      </w:r>
      <w:r w:rsidR="000C755C" w:rsidRPr="008B62BB">
        <w:rPr>
          <w:rFonts w:ascii="Times New Roman" w:hAnsi="Times New Roman"/>
          <w:lang w:val="pl-PL"/>
        </w:rPr>
        <w:t>,</w:t>
      </w:r>
    </w:p>
    <w:p w14:paraId="195B51A4" w14:textId="1717B279" w:rsidR="007914EE" w:rsidRPr="008B62BB" w:rsidRDefault="007914EE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8B62BB">
        <w:rPr>
          <w:rFonts w:ascii="Times New Roman" w:hAnsi="Times New Roman"/>
          <w:lang w:val="pl-PL"/>
        </w:rPr>
        <w:t>oświadczenie o posiadaniu prawa do informacji geologicznej wraz z dowodem jej istnienia</w:t>
      </w:r>
      <w:r w:rsidR="005270B3">
        <w:rPr>
          <w:rFonts w:ascii="Times New Roman" w:hAnsi="Times New Roman"/>
          <w:lang w:val="pl-PL"/>
        </w:rPr>
        <w:t>,</w:t>
      </w:r>
    </w:p>
    <w:p w14:paraId="26409C25" w14:textId="2F659F38" w:rsidR="007E0892" w:rsidRDefault="00D45497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opinię bankową z dnia </w:t>
      </w:r>
      <w:r w:rsidR="00E50763">
        <w:rPr>
          <w:rFonts w:ascii="Times New Roman" w:hAnsi="Times New Roman"/>
          <w:lang w:val="pl-PL"/>
        </w:rPr>
        <w:t>1</w:t>
      </w:r>
      <w:r w:rsidR="00E0154C">
        <w:rPr>
          <w:rFonts w:ascii="Times New Roman" w:hAnsi="Times New Roman"/>
          <w:lang w:val="pl-PL"/>
        </w:rPr>
        <w:t>8</w:t>
      </w:r>
      <w:r>
        <w:rPr>
          <w:rFonts w:ascii="Times New Roman" w:hAnsi="Times New Roman"/>
          <w:lang w:val="pl-PL"/>
        </w:rPr>
        <w:t>.0</w:t>
      </w:r>
      <w:r w:rsidR="00E50763">
        <w:rPr>
          <w:rFonts w:ascii="Times New Roman" w:hAnsi="Times New Roman"/>
          <w:lang w:val="pl-PL"/>
        </w:rPr>
        <w:t>5</w:t>
      </w:r>
      <w:r>
        <w:rPr>
          <w:rFonts w:ascii="Times New Roman" w:hAnsi="Times New Roman"/>
          <w:lang w:val="pl-PL"/>
        </w:rPr>
        <w:t>.202</w:t>
      </w:r>
      <w:r w:rsidR="00E50763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r.</w:t>
      </w:r>
      <w:r w:rsidR="00E50763">
        <w:rPr>
          <w:rFonts w:ascii="Times New Roman" w:hAnsi="Times New Roman"/>
          <w:lang w:val="pl-PL"/>
        </w:rPr>
        <w:t xml:space="preserve">, zaświadczenie z ZUS o niezaleganiu w opłacaniu składek, zaświadczenie z Urzędu Skarbowego o niezaleganiu w podatkach, </w:t>
      </w:r>
      <w:r w:rsidR="00A41173">
        <w:rPr>
          <w:rFonts w:ascii="Times New Roman" w:hAnsi="Times New Roman"/>
          <w:lang w:val="pl-PL"/>
        </w:rPr>
        <w:t>potwierdzenie utworzenia w banku konta Funduszu Likwidacji Zakładu Górniczego</w:t>
      </w:r>
      <w:r w:rsidR="00CA05FC">
        <w:rPr>
          <w:rFonts w:ascii="Times New Roman" w:hAnsi="Times New Roman"/>
          <w:lang w:val="pl-PL"/>
        </w:rPr>
        <w:t xml:space="preserve"> oraz</w:t>
      </w:r>
      <w:r>
        <w:rPr>
          <w:rFonts w:ascii="Times New Roman" w:hAnsi="Times New Roman"/>
          <w:lang w:val="pl-PL"/>
        </w:rPr>
        <w:t xml:space="preserve"> </w:t>
      </w:r>
      <w:r w:rsidR="007E0892" w:rsidRPr="008B62BB">
        <w:rPr>
          <w:rFonts w:ascii="Times New Roman" w:hAnsi="Times New Roman"/>
          <w:lang w:val="pl-PL"/>
        </w:rPr>
        <w:t>oświadczenie przedsiębiorcy o posiadaniu środków technicznych i finansowych do prowadzenia działalności objętej wnioskiem</w:t>
      </w:r>
      <w:r w:rsidR="007E0892">
        <w:rPr>
          <w:rFonts w:ascii="Times New Roman" w:hAnsi="Times New Roman"/>
          <w:lang w:val="pl-PL"/>
        </w:rPr>
        <w:t>.</w:t>
      </w:r>
    </w:p>
    <w:p w14:paraId="17B2F975" w14:textId="324229DA" w:rsidR="008C667C" w:rsidRPr="000C755C" w:rsidRDefault="00380346" w:rsidP="008C667C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C755C">
        <w:rPr>
          <w:rFonts w:ascii="Times New Roman" w:hAnsi="Times New Roman"/>
          <w:sz w:val="24"/>
          <w:szCs w:val="24"/>
          <w:lang w:val="pl-PL"/>
        </w:rPr>
        <w:t>W rozpatrywanej sprawie punktem wyjścia była zgodność projektowanych zamierzeń</w:t>
      </w:r>
      <w:r w:rsidR="008C667C" w:rsidRPr="000C755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C755C">
        <w:rPr>
          <w:rFonts w:ascii="Times New Roman" w:hAnsi="Times New Roman"/>
          <w:sz w:val="24"/>
          <w:szCs w:val="24"/>
          <w:lang w:val="pl-PL"/>
        </w:rPr>
        <w:t xml:space="preserve">z decyzją 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>Wójta Gminy Miedziana Góra z dnia 14.12.2021r., znak: IGPOS.6220.2.2020</w:t>
      </w:r>
      <w:r w:rsidR="0071365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9613C">
        <w:rPr>
          <w:rFonts w:ascii="Times New Roman" w:hAnsi="Times New Roman"/>
          <w:color w:val="000000"/>
          <w:sz w:val="24"/>
          <w:szCs w:val="24"/>
          <w:lang w:val="pl-PL"/>
        </w:rPr>
        <w:t>o</w:t>
      </w:r>
      <w:r w:rsidR="008B62B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0C755C" w:rsidRPr="0009613C">
        <w:rPr>
          <w:rFonts w:ascii="Times New Roman" w:hAnsi="Times New Roman"/>
          <w:sz w:val="24"/>
          <w:szCs w:val="24"/>
          <w:lang w:val="pl-PL"/>
        </w:rPr>
        <w:t>środowiskowych</w:t>
      </w:r>
      <w:r w:rsidR="000C755C" w:rsidRPr="000C755C">
        <w:rPr>
          <w:rFonts w:ascii="Times New Roman" w:hAnsi="Times New Roman"/>
          <w:sz w:val="24"/>
          <w:szCs w:val="24"/>
          <w:lang w:val="pl-PL"/>
        </w:rPr>
        <w:t xml:space="preserve"> uwarunkowaniach</w:t>
      </w:r>
      <w:r w:rsidR="008C667C" w:rsidRPr="000C755C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4818B1F4" w14:textId="393FE5F8" w:rsidR="00380346" w:rsidRPr="00350B8B" w:rsidRDefault="00380346" w:rsidP="00350B8B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C75E1">
        <w:rPr>
          <w:rFonts w:ascii="Times New Roman" w:hAnsi="Times New Roman"/>
          <w:sz w:val="24"/>
          <w:szCs w:val="24"/>
          <w:lang w:val="pl-PL"/>
        </w:rPr>
        <w:t xml:space="preserve">Analiza przedłożonych materiałów i dokumentów wykazała, że zmiana koncesji </w:t>
      </w:r>
      <w:r w:rsidR="00EC75E1" w:rsidRPr="00EC75E1">
        <w:rPr>
          <w:rFonts w:ascii="Times New Roman" w:hAnsi="Times New Roman"/>
          <w:sz w:val="24"/>
          <w:szCs w:val="24"/>
          <w:lang w:val="pl-PL"/>
        </w:rPr>
        <w:t xml:space="preserve">dotyczy </w:t>
      </w:r>
      <w:r w:rsidR="008B62BB" w:rsidRPr="008B62BB">
        <w:rPr>
          <w:rFonts w:ascii="Times New Roman" w:hAnsi="Times New Roman"/>
          <w:sz w:val="24"/>
          <w:szCs w:val="24"/>
          <w:lang w:val="pl-PL"/>
        </w:rPr>
        <w:t>poszerzenia powierzchniowego obszaru eksploatacji złoża w kierunku północnym i</w:t>
      </w:r>
      <w:r w:rsidR="008B534A">
        <w:rPr>
          <w:rFonts w:ascii="Times New Roman" w:hAnsi="Times New Roman"/>
          <w:sz w:val="24"/>
          <w:szCs w:val="24"/>
          <w:lang w:val="pl-PL"/>
        </w:rPr>
        <w:t> </w:t>
      </w:r>
      <w:r w:rsidR="008B62BB" w:rsidRPr="008B62BB">
        <w:rPr>
          <w:rFonts w:ascii="Times New Roman" w:hAnsi="Times New Roman"/>
          <w:sz w:val="24"/>
          <w:szCs w:val="24"/>
          <w:lang w:val="pl-PL"/>
        </w:rPr>
        <w:t>południowym, oraz poszerzenia wgłębnego zakresu eksploatacji do rzędnej +222 m n.p.m</w:t>
      </w:r>
      <w:r w:rsidR="0071365E">
        <w:rPr>
          <w:rFonts w:ascii="Times New Roman" w:hAnsi="Times New Roman"/>
          <w:sz w:val="24"/>
          <w:szCs w:val="24"/>
          <w:lang w:val="pl-PL"/>
        </w:rPr>
        <w:t>.</w:t>
      </w:r>
      <w:r w:rsidR="001E2BD2" w:rsidRPr="0010680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6806">
        <w:rPr>
          <w:rFonts w:ascii="Times New Roman" w:hAnsi="Times New Roman"/>
          <w:sz w:val="24"/>
          <w:szCs w:val="24"/>
          <w:lang w:val="pl-PL"/>
        </w:rPr>
        <w:t>W</w:t>
      </w:r>
      <w:r w:rsidR="008B534A">
        <w:rPr>
          <w:rFonts w:ascii="Times New Roman" w:hAnsi="Times New Roman"/>
          <w:sz w:val="24"/>
          <w:szCs w:val="24"/>
          <w:lang w:val="pl-PL"/>
        </w:rPr>
        <w:t> </w:t>
      </w:r>
      <w:r w:rsidRPr="00106806">
        <w:rPr>
          <w:rFonts w:ascii="Times New Roman" w:hAnsi="Times New Roman"/>
          <w:sz w:val="24"/>
          <w:szCs w:val="24"/>
          <w:lang w:val="pl-PL"/>
        </w:rPr>
        <w:t>związku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 z tym, we wniosku zaproponowano nowy obszar górniczy 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„</w:t>
      </w:r>
      <w:r w:rsidR="00A70518">
        <w:rPr>
          <w:rFonts w:ascii="Times New Roman" w:hAnsi="Times New Roman"/>
          <w:iCs/>
          <w:sz w:val="24"/>
          <w:szCs w:val="24"/>
          <w:lang w:val="pl-PL"/>
        </w:rPr>
        <w:t>Kostomłoty</w:t>
      </w:r>
      <w:r w:rsidR="00F84A03" w:rsidRPr="00B51D2C">
        <w:rPr>
          <w:rFonts w:ascii="Times New Roman" w:hAnsi="Times New Roman"/>
          <w:iCs/>
          <w:sz w:val="24"/>
          <w:szCs w:val="24"/>
          <w:lang w:val="pl-PL"/>
        </w:rPr>
        <w:t xml:space="preserve"> V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”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 o powierzchni 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 xml:space="preserve">108 325 </w:t>
      </w:r>
      <w:r w:rsidR="001E158D" w:rsidRPr="00B51D2C">
        <w:rPr>
          <w:rFonts w:ascii="Times New Roman" w:hAnsi="Times New Roman"/>
          <w:sz w:val="24"/>
          <w:szCs w:val="24"/>
          <w:lang w:val="pl-PL"/>
        </w:rPr>
        <w:t>m</w:t>
      </w:r>
      <w:r w:rsidR="001E158D" w:rsidRPr="00B51D2C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="00CA05FC"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 </w:t>
      </w:r>
      <w:r w:rsidR="00CA05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51D2C">
        <w:rPr>
          <w:rFonts w:ascii="Times New Roman" w:hAnsi="Times New Roman"/>
          <w:sz w:val="24"/>
          <w:szCs w:val="24"/>
          <w:lang w:val="pl-PL"/>
        </w:rPr>
        <w:t>oraz</w:t>
      </w:r>
      <w:r w:rsidR="007D1F87" w:rsidRPr="00B51D2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E158D" w:rsidRPr="00B51D2C">
        <w:rPr>
          <w:rFonts w:ascii="Times New Roman" w:hAnsi="Times New Roman"/>
          <w:sz w:val="24"/>
          <w:szCs w:val="24"/>
          <w:lang w:val="pl-PL"/>
        </w:rPr>
        <w:t xml:space="preserve">nowy 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teren górniczy 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„</w:t>
      </w:r>
      <w:r w:rsidR="00A70518">
        <w:rPr>
          <w:rFonts w:ascii="Times New Roman" w:hAnsi="Times New Roman"/>
          <w:iCs/>
          <w:sz w:val="24"/>
          <w:szCs w:val="24"/>
          <w:lang w:val="pl-PL"/>
        </w:rPr>
        <w:t>Kostomłoty</w:t>
      </w:r>
      <w:r w:rsidR="00F84A03" w:rsidRPr="00B51D2C">
        <w:rPr>
          <w:rFonts w:ascii="Times New Roman" w:hAnsi="Times New Roman"/>
          <w:iCs/>
          <w:sz w:val="24"/>
          <w:szCs w:val="24"/>
          <w:lang w:val="pl-PL"/>
        </w:rPr>
        <w:t xml:space="preserve"> V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”</w:t>
      </w:r>
      <w:r w:rsidRPr="00B51D2C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o powierzchni 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>1</w:t>
      </w:r>
      <w:r w:rsidR="00415064">
        <w:rPr>
          <w:rFonts w:ascii="Times New Roman" w:hAnsi="Times New Roman"/>
          <w:sz w:val="24"/>
          <w:szCs w:val="24"/>
          <w:lang w:val="pl-PL"/>
        </w:rPr>
        <w:t> 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>187</w:t>
      </w:r>
      <w:r w:rsidR="00CA05FC">
        <w:rPr>
          <w:rFonts w:ascii="Times New Roman" w:hAnsi="Times New Roman"/>
          <w:sz w:val="24"/>
          <w:szCs w:val="24"/>
          <w:lang w:val="pl-PL"/>
        </w:rPr>
        <w:t> 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>37</w:t>
      </w:r>
      <w:r w:rsidR="00CB2378">
        <w:rPr>
          <w:rFonts w:ascii="Times New Roman" w:hAnsi="Times New Roman"/>
          <w:sz w:val="24"/>
          <w:szCs w:val="24"/>
          <w:lang w:val="pl-PL"/>
        </w:rPr>
        <w:t>5</w:t>
      </w:r>
      <w:r w:rsidR="00CA05FC">
        <w:rPr>
          <w:rFonts w:ascii="Times New Roman" w:hAnsi="Times New Roman"/>
          <w:sz w:val="24"/>
          <w:szCs w:val="24"/>
          <w:lang w:val="pl-PL"/>
        </w:rPr>
        <w:t> </w:t>
      </w:r>
      <w:r w:rsidR="001E158D" w:rsidRPr="00B51D2C">
        <w:rPr>
          <w:rFonts w:ascii="Times New Roman" w:hAnsi="Times New Roman"/>
          <w:sz w:val="24"/>
          <w:szCs w:val="24"/>
          <w:lang w:val="pl-PL"/>
        </w:rPr>
        <w:t>m</w:t>
      </w:r>
      <w:r w:rsidR="001E158D" w:rsidRPr="00B51D2C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="0071365E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B51D2C">
        <w:rPr>
          <w:rFonts w:ascii="Times New Roman" w:hAnsi="Times New Roman"/>
          <w:sz w:val="24"/>
          <w:szCs w:val="24"/>
          <w:lang w:val="pl-PL"/>
        </w:rPr>
        <w:t>Obszarem</w:t>
      </w:r>
      <w:r w:rsidRPr="008C667C">
        <w:rPr>
          <w:rFonts w:ascii="Times New Roman" w:hAnsi="Times New Roman"/>
          <w:sz w:val="24"/>
          <w:szCs w:val="24"/>
          <w:lang w:val="pl-PL"/>
        </w:rPr>
        <w:t xml:space="preserve"> górniczym objęto przestrzeń niezbędną do wydobywania kopalin ze złoża „</w:t>
      </w:r>
      <w:r w:rsidR="00A70518">
        <w:rPr>
          <w:rFonts w:ascii="Times New Roman" w:hAnsi="Times New Roman"/>
          <w:sz w:val="24"/>
          <w:szCs w:val="24"/>
          <w:lang w:val="pl-PL"/>
        </w:rPr>
        <w:t>Kostomłoty</w:t>
      </w:r>
      <w:r w:rsidRPr="008C667C">
        <w:rPr>
          <w:rFonts w:ascii="Times New Roman" w:hAnsi="Times New Roman"/>
          <w:sz w:val="24"/>
          <w:szCs w:val="24"/>
          <w:lang w:val="pl-PL"/>
        </w:rPr>
        <w:t>”</w:t>
      </w:r>
      <w:r w:rsidR="001E158D">
        <w:rPr>
          <w:rFonts w:ascii="Times New Roman" w:hAnsi="Times New Roman"/>
          <w:sz w:val="24"/>
          <w:szCs w:val="24"/>
          <w:lang w:val="pl-PL"/>
        </w:rPr>
        <w:t xml:space="preserve"> oraz prowadzenia robót górniczych</w:t>
      </w:r>
      <w:r w:rsidR="00CA05FC">
        <w:rPr>
          <w:rFonts w:ascii="Times New Roman" w:hAnsi="Times New Roman"/>
          <w:sz w:val="24"/>
          <w:szCs w:val="24"/>
          <w:lang w:val="pl-PL"/>
        </w:rPr>
        <w:t>,</w:t>
      </w:r>
      <w:r w:rsidR="001E158D">
        <w:rPr>
          <w:rFonts w:ascii="Times New Roman" w:hAnsi="Times New Roman"/>
          <w:sz w:val="24"/>
          <w:szCs w:val="24"/>
          <w:lang w:val="pl-PL"/>
        </w:rPr>
        <w:t xml:space="preserve"> niezbędnych do wykonywania koncesji, w</w:t>
      </w:r>
      <w:r w:rsidR="008B534A">
        <w:rPr>
          <w:rFonts w:ascii="Times New Roman" w:hAnsi="Times New Roman"/>
          <w:sz w:val="24"/>
          <w:szCs w:val="24"/>
          <w:lang w:val="pl-PL"/>
        </w:rPr>
        <w:t> </w:t>
      </w:r>
      <w:r w:rsidR="001E158D">
        <w:rPr>
          <w:rFonts w:ascii="Times New Roman" w:hAnsi="Times New Roman"/>
          <w:sz w:val="24"/>
          <w:szCs w:val="24"/>
          <w:lang w:val="pl-PL"/>
        </w:rPr>
        <w:t>tym zwałowania nadkładu na zwałowiskach</w:t>
      </w:r>
      <w:r w:rsidRPr="008C667C">
        <w:rPr>
          <w:rFonts w:ascii="Times New Roman" w:hAnsi="Times New Roman"/>
          <w:sz w:val="24"/>
          <w:szCs w:val="24"/>
          <w:lang w:val="pl-PL"/>
        </w:rPr>
        <w:t>. Natomiast zasięg terenu górniczego determinowany jest</w:t>
      </w:r>
      <w:r w:rsidR="007D1F87">
        <w:rPr>
          <w:rFonts w:ascii="Times New Roman" w:hAnsi="Times New Roman"/>
          <w:sz w:val="24"/>
          <w:szCs w:val="24"/>
          <w:lang w:val="pl-PL"/>
        </w:rPr>
        <w:t xml:space="preserve"> (tak jak dotychczas)</w:t>
      </w:r>
      <w:r w:rsidRPr="008C667C">
        <w:rPr>
          <w:rFonts w:ascii="Times New Roman" w:hAnsi="Times New Roman"/>
          <w:sz w:val="24"/>
          <w:szCs w:val="24"/>
          <w:lang w:val="pl-PL"/>
        </w:rPr>
        <w:t xml:space="preserve"> przewidywanym </w:t>
      </w:r>
      <w:r w:rsidR="0071365E">
        <w:rPr>
          <w:rFonts w:ascii="Times New Roman" w:hAnsi="Times New Roman"/>
          <w:sz w:val="24"/>
          <w:szCs w:val="24"/>
          <w:lang w:val="pl-PL"/>
        </w:rPr>
        <w:t>zasięgiem odwadniania złoża</w:t>
      </w:r>
      <w:r w:rsidRPr="008C667C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766FBD2C" w14:textId="742F543F" w:rsidR="00B9228B" w:rsidRDefault="00380346" w:rsidP="0065650A">
      <w:pPr>
        <w:ind w:firstLine="708"/>
        <w:jc w:val="both"/>
        <w:rPr>
          <w:rFonts w:ascii="Times New Roman" w:hAnsi="Times New Roman"/>
          <w:color w:val="FF0000"/>
          <w:lang w:val="pl-PL"/>
        </w:rPr>
      </w:pPr>
      <w:r w:rsidRPr="002145B3">
        <w:rPr>
          <w:rFonts w:ascii="Times New Roman" w:hAnsi="Times New Roman"/>
          <w:lang w:val="pl-PL"/>
        </w:rPr>
        <w:t>Zgodnie z projektem zagospodarowania złoża „</w:t>
      </w:r>
      <w:r w:rsidR="00A70518">
        <w:rPr>
          <w:rFonts w:ascii="Times New Roman" w:hAnsi="Times New Roman"/>
          <w:lang w:val="pl-PL"/>
        </w:rPr>
        <w:t>Kostomłoty</w:t>
      </w:r>
      <w:r w:rsidRPr="002145B3">
        <w:rPr>
          <w:rFonts w:ascii="Times New Roman" w:hAnsi="Times New Roman"/>
          <w:lang w:val="pl-PL"/>
        </w:rPr>
        <w:t xml:space="preserve">” </w:t>
      </w:r>
      <w:r>
        <w:rPr>
          <w:rFonts w:ascii="Times New Roman" w:hAnsi="Times New Roman"/>
          <w:lang w:val="pl-PL"/>
        </w:rPr>
        <w:t>wapienie</w:t>
      </w:r>
      <w:r w:rsidR="00F84A03">
        <w:rPr>
          <w:rFonts w:ascii="Times New Roman" w:hAnsi="Times New Roman"/>
          <w:lang w:val="pl-PL"/>
        </w:rPr>
        <w:t xml:space="preserve"> i </w:t>
      </w:r>
      <w:r w:rsidR="0071365E">
        <w:rPr>
          <w:rFonts w:ascii="Times New Roman" w:hAnsi="Times New Roman"/>
          <w:lang w:val="pl-PL"/>
        </w:rPr>
        <w:t>łupki</w:t>
      </w:r>
      <w:r>
        <w:rPr>
          <w:rFonts w:ascii="Times New Roman" w:hAnsi="Times New Roman"/>
          <w:lang w:val="pl-PL"/>
        </w:rPr>
        <w:t xml:space="preserve"> </w:t>
      </w:r>
      <w:r w:rsidRPr="002145B3">
        <w:rPr>
          <w:rFonts w:ascii="Times New Roman" w:hAnsi="Times New Roman"/>
          <w:lang w:val="pl-PL"/>
        </w:rPr>
        <w:t>z</w:t>
      </w:r>
      <w:r w:rsidR="00F84A03">
        <w:rPr>
          <w:rFonts w:ascii="Times New Roman" w:hAnsi="Times New Roman"/>
          <w:lang w:val="pl-PL"/>
        </w:rPr>
        <w:t> </w:t>
      </w:r>
      <w:r w:rsidRPr="002145B3">
        <w:rPr>
          <w:rFonts w:ascii="Times New Roman" w:hAnsi="Times New Roman"/>
          <w:lang w:val="pl-PL"/>
        </w:rPr>
        <w:t xml:space="preserve">tego złoża </w:t>
      </w:r>
      <w:r>
        <w:rPr>
          <w:rFonts w:ascii="Times New Roman" w:hAnsi="Times New Roman"/>
          <w:lang w:val="pl-PL"/>
        </w:rPr>
        <w:t>wydobywane będą</w:t>
      </w:r>
      <w:r w:rsidRPr="002145B3">
        <w:rPr>
          <w:rFonts w:ascii="Times New Roman" w:hAnsi="Times New Roman"/>
          <w:lang w:val="pl-PL"/>
        </w:rPr>
        <w:t xml:space="preserve"> tak jak do tej pory, tj. sposobem o</w:t>
      </w:r>
      <w:r>
        <w:rPr>
          <w:rFonts w:ascii="Times New Roman" w:hAnsi="Times New Roman"/>
          <w:lang w:val="pl-PL"/>
        </w:rPr>
        <w:t>dkrywkowym, systemem ścianowym</w:t>
      </w:r>
      <w:r w:rsidRPr="002145B3">
        <w:rPr>
          <w:rFonts w:ascii="Times New Roman" w:hAnsi="Times New Roman"/>
          <w:lang w:val="pl-PL"/>
        </w:rPr>
        <w:t>, przy użyciu materiałów wybuchowych</w:t>
      </w:r>
      <w:r>
        <w:rPr>
          <w:rFonts w:ascii="Times New Roman" w:hAnsi="Times New Roman"/>
          <w:lang w:val="pl-PL"/>
        </w:rPr>
        <w:t xml:space="preserve"> oraz </w:t>
      </w:r>
      <w:r w:rsidR="00000E84">
        <w:rPr>
          <w:rFonts w:ascii="Times New Roman" w:hAnsi="Times New Roman"/>
          <w:lang w:val="pl-PL"/>
        </w:rPr>
        <w:t>sposobem mechanicznym</w:t>
      </w:r>
      <w:r w:rsidRPr="002145B3">
        <w:rPr>
          <w:rFonts w:ascii="Times New Roman" w:hAnsi="Times New Roman"/>
          <w:lang w:val="pl-PL"/>
        </w:rPr>
        <w:t xml:space="preserve">. </w:t>
      </w:r>
      <w:r w:rsidRPr="006A63DA">
        <w:rPr>
          <w:rFonts w:ascii="Times New Roman" w:hAnsi="Times New Roman"/>
          <w:lang w:val="pl-PL"/>
        </w:rPr>
        <w:t>Po</w:t>
      </w:r>
      <w:r>
        <w:rPr>
          <w:rFonts w:ascii="Times New Roman" w:hAnsi="Times New Roman"/>
          <w:lang w:val="pl-PL"/>
        </w:rPr>
        <w:t> </w:t>
      </w:r>
      <w:r w:rsidRPr="006A63DA">
        <w:rPr>
          <w:rFonts w:ascii="Times New Roman" w:hAnsi="Times New Roman"/>
          <w:lang w:val="pl-PL"/>
        </w:rPr>
        <w:t xml:space="preserve">zmianie koncesji </w:t>
      </w:r>
      <w:r w:rsidR="001B6CDA">
        <w:rPr>
          <w:rFonts w:ascii="Times New Roman" w:hAnsi="Times New Roman"/>
          <w:lang w:val="pl-PL"/>
        </w:rPr>
        <w:t xml:space="preserve">nastąpi </w:t>
      </w:r>
      <w:r w:rsidR="00000E84">
        <w:rPr>
          <w:rFonts w:ascii="Times New Roman" w:hAnsi="Times New Roman"/>
          <w:lang w:val="pl-PL"/>
        </w:rPr>
        <w:t>zwiększenie</w:t>
      </w:r>
      <w:r w:rsidR="001B6CDA">
        <w:rPr>
          <w:rFonts w:ascii="Times New Roman" w:hAnsi="Times New Roman"/>
          <w:lang w:val="pl-PL"/>
        </w:rPr>
        <w:t xml:space="preserve"> powierzchniowego zakresu eksploatacji</w:t>
      </w:r>
      <w:r w:rsidR="00007A1D">
        <w:rPr>
          <w:rFonts w:ascii="Times New Roman" w:hAnsi="Times New Roman"/>
          <w:lang w:val="pl-PL"/>
        </w:rPr>
        <w:t xml:space="preserve"> </w:t>
      </w:r>
      <w:r w:rsidR="0065650A">
        <w:rPr>
          <w:rFonts w:ascii="Times New Roman" w:hAnsi="Times New Roman"/>
          <w:lang w:val="pl-PL"/>
        </w:rPr>
        <w:t>złoża „</w:t>
      </w:r>
      <w:r w:rsidR="00A70518">
        <w:rPr>
          <w:rFonts w:ascii="Times New Roman" w:hAnsi="Times New Roman"/>
          <w:lang w:val="pl-PL"/>
        </w:rPr>
        <w:t>Kostomłoty</w:t>
      </w:r>
      <w:r w:rsidR="0065650A">
        <w:rPr>
          <w:rFonts w:ascii="Times New Roman" w:hAnsi="Times New Roman"/>
          <w:lang w:val="pl-PL"/>
        </w:rPr>
        <w:t xml:space="preserve">” </w:t>
      </w:r>
      <w:r w:rsidR="00007A1D">
        <w:rPr>
          <w:rFonts w:ascii="Times New Roman" w:hAnsi="Times New Roman"/>
          <w:lang w:val="pl-PL"/>
        </w:rPr>
        <w:t>w</w:t>
      </w:r>
      <w:r w:rsidR="00415064">
        <w:rPr>
          <w:rFonts w:ascii="Times New Roman" w:hAnsi="Times New Roman"/>
          <w:lang w:val="pl-PL"/>
        </w:rPr>
        <w:t> </w:t>
      </w:r>
      <w:r w:rsidR="00007A1D">
        <w:rPr>
          <w:rFonts w:ascii="Times New Roman" w:hAnsi="Times New Roman"/>
          <w:lang w:val="pl-PL"/>
        </w:rPr>
        <w:t>kierunk</w:t>
      </w:r>
      <w:r w:rsidR="00635177">
        <w:rPr>
          <w:rFonts w:ascii="Times New Roman" w:hAnsi="Times New Roman"/>
          <w:lang w:val="pl-PL"/>
        </w:rPr>
        <w:t>ach</w:t>
      </w:r>
      <w:r w:rsidR="00007A1D">
        <w:rPr>
          <w:rFonts w:ascii="Times New Roman" w:hAnsi="Times New Roman"/>
          <w:lang w:val="pl-PL"/>
        </w:rPr>
        <w:t xml:space="preserve"> </w:t>
      </w:r>
      <w:r w:rsidR="00B51D2C">
        <w:rPr>
          <w:rFonts w:ascii="Times New Roman" w:hAnsi="Times New Roman"/>
          <w:lang w:val="pl-PL"/>
        </w:rPr>
        <w:t>północn</w:t>
      </w:r>
      <w:r w:rsidR="00CE071C">
        <w:rPr>
          <w:rFonts w:ascii="Times New Roman" w:hAnsi="Times New Roman"/>
          <w:lang w:val="pl-PL"/>
        </w:rPr>
        <w:t>ym</w:t>
      </w:r>
      <w:r w:rsidR="00635177">
        <w:rPr>
          <w:rFonts w:ascii="Times New Roman" w:hAnsi="Times New Roman"/>
          <w:lang w:val="pl-PL"/>
        </w:rPr>
        <w:t xml:space="preserve"> i południowym</w:t>
      </w:r>
      <w:r w:rsidR="00106806">
        <w:rPr>
          <w:rFonts w:ascii="Times New Roman" w:hAnsi="Times New Roman"/>
          <w:lang w:val="pl-PL"/>
        </w:rPr>
        <w:t>,</w:t>
      </w:r>
      <w:r w:rsidR="0005669C">
        <w:rPr>
          <w:rFonts w:ascii="Times New Roman" w:hAnsi="Times New Roman"/>
          <w:lang w:val="pl-PL"/>
        </w:rPr>
        <w:t xml:space="preserve"> co jest uzasadnione z punktu widzenia racjonalnej gospodarki tym złożem</w:t>
      </w:r>
      <w:r w:rsidR="004B3C10">
        <w:rPr>
          <w:rFonts w:ascii="Times New Roman" w:hAnsi="Times New Roman"/>
          <w:lang w:val="pl-PL"/>
        </w:rPr>
        <w:t xml:space="preserve">. </w:t>
      </w:r>
      <w:r w:rsidR="00CE071C">
        <w:rPr>
          <w:rFonts w:ascii="Times New Roman" w:hAnsi="Times New Roman"/>
          <w:lang w:val="pl-PL"/>
        </w:rPr>
        <w:t>P</w:t>
      </w:r>
      <w:r w:rsidR="004B3C10" w:rsidRPr="00106806">
        <w:rPr>
          <w:rFonts w:ascii="Times New Roman" w:hAnsi="Times New Roman"/>
          <w:lang w:val="pl-PL"/>
        </w:rPr>
        <w:t xml:space="preserve">oszerzy się </w:t>
      </w:r>
      <w:r w:rsidR="00CE071C">
        <w:rPr>
          <w:rFonts w:ascii="Times New Roman" w:hAnsi="Times New Roman"/>
          <w:lang w:val="pl-PL"/>
        </w:rPr>
        <w:t>również</w:t>
      </w:r>
      <w:r w:rsidR="0005669C" w:rsidRPr="00106806">
        <w:rPr>
          <w:rFonts w:ascii="Times New Roman" w:hAnsi="Times New Roman"/>
          <w:lang w:val="pl-PL"/>
        </w:rPr>
        <w:t xml:space="preserve"> </w:t>
      </w:r>
      <w:r w:rsidR="001B6CDA" w:rsidRPr="00106806">
        <w:rPr>
          <w:rFonts w:ascii="Times New Roman" w:hAnsi="Times New Roman"/>
          <w:lang w:val="pl-PL"/>
        </w:rPr>
        <w:t>wgłębny zakres</w:t>
      </w:r>
      <w:r w:rsidR="0005669C" w:rsidRPr="00106806">
        <w:rPr>
          <w:rFonts w:ascii="Times New Roman" w:hAnsi="Times New Roman"/>
          <w:lang w:val="pl-PL"/>
        </w:rPr>
        <w:t xml:space="preserve"> eksploatacji, który </w:t>
      </w:r>
      <w:r w:rsidR="001B6CDA" w:rsidRPr="00106806">
        <w:rPr>
          <w:rFonts w:ascii="Times New Roman" w:hAnsi="Times New Roman"/>
          <w:lang w:val="pl-PL"/>
        </w:rPr>
        <w:t xml:space="preserve">ustalony </w:t>
      </w:r>
      <w:r w:rsidR="001B6CDA" w:rsidRPr="00106806">
        <w:rPr>
          <w:rFonts w:ascii="Times New Roman" w:hAnsi="Times New Roman"/>
          <w:lang w:val="pl-PL"/>
        </w:rPr>
        <w:lastRenderedPageBreak/>
        <w:t>został</w:t>
      </w:r>
      <w:r w:rsidR="0065650A" w:rsidRPr="00106806">
        <w:rPr>
          <w:rFonts w:ascii="Times New Roman" w:hAnsi="Times New Roman"/>
          <w:lang w:val="pl-PL"/>
        </w:rPr>
        <w:t xml:space="preserve"> na rzędn</w:t>
      </w:r>
      <w:r w:rsidR="00FC04C9">
        <w:rPr>
          <w:rFonts w:ascii="Times New Roman" w:hAnsi="Times New Roman"/>
          <w:lang w:val="pl-PL"/>
        </w:rPr>
        <w:t>ej</w:t>
      </w:r>
      <w:r w:rsidR="0065650A" w:rsidRPr="00106806">
        <w:rPr>
          <w:rFonts w:ascii="Times New Roman" w:hAnsi="Times New Roman"/>
          <w:lang w:val="pl-PL"/>
        </w:rPr>
        <w:t xml:space="preserve"> </w:t>
      </w:r>
      <w:r w:rsidR="0065650A" w:rsidRPr="00635177">
        <w:rPr>
          <w:rFonts w:ascii="Times New Roman" w:hAnsi="Times New Roman"/>
          <w:lang w:val="pl-PL"/>
        </w:rPr>
        <w:t>+2</w:t>
      </w:r>
      <w:r w:rsidR="00FC04C9" w:rsidRPr="00635177">
        <w:rPr>
          <w:rFonts w:ascii="Times New Roman" w:hAnsi="Times New Roman"/>
          <w:lang w:val="pl-PL"/>
        </w:rPr>
        <w:t>22</w:t>
      </w:r>
      <w:r w:rsidR="0065650A" w:rsidRPr="00635177">
        <w:rPr>
          <w:rFonts w:ascii="Times New Roman" w:hAnsi="Times New Roman"/>
          <w:lang w:val="pl-PL"/>
        </w:rPr>
        <w:t xml:space="preserve"> m n.p.m. </w:t>
      </w:r>
      <w:r w:rsidRPr="00635177">
        <w:rPr>
          <w:rFonts w:ascii="Times New Roman" w:hAnsi="Times New Roman"/>
          <w:lang w:val="pl-PL"/>
        </w:rPr>
        <w:t xml:space="preserve">Złoże eksploatowane </w:t>
      </w:r>
      <w:r w:rsidR="0065650A" w:rsidRPr="00635177">
        <w:rPr>
          <w:rFonts w:ascii="Times New Roman" w:hAnsi="Times New Roman"/>
          <w:lang w:val="pl-PL"/>
        </w:rPr>
        <w:t xml:space="preserve">będzie </w:t>
      </w:r>
      <w:r w:rsidR="00FC04C9" w:rsidRPr="00635177">
        <w:rPr>
          <w:rFonts w:ascii="Times New Roman" w:hAnsi="Times New Roman"/>
          <w:lang w:val="pl-PL"/>
        </w:rPr>
        <w:t>ośmioma</w:t>
      </w:r>
      <w:r w:rsidR="0065650A" w:rsidRPr="00635177">
        <w:rPr>
          <w:rFonts w:ascii="Times New Roman" w:hAnsi="Times New Roman"/>
          <w:lang w:val="pl-PL"/>
        </w:rPr>
        <w:t xml:space="preserve"> piętrami, z</w:t>
      </w:r>
      <w:r w:rsidR="00415064">
        <w:rPr>
          <w:rFonts w:ascii="Times New Roman" w:hAnsi="Times New Roman"/>
          <w:lang w:val="pl-PL"/>
        </w:rPr>
        <w:t> </w:t>
      </w:r>
      <w:r w:rsidR="0065650A" w:rsidRPr="00635177">
        <w:rPr>
          <w:rFonts w:ascii="Times New Roman" w:hAnsi="Times New Roman"/>
          <w:lang w:val="pl-PL"/>
        </w:rPr>
        <w:t>możliwością ich podziału na podpiętra o wysokości ścian dostosowanych do przyjętej techniki urabiania kopaliny</w:t>
      </w:r>
      <w:r w:rsidR="001B6CDA" w:rsidRPr="00D14A12">
        <w:rPr>
          <w:rFonts w:ascii="Times New Roman" w:hAnsi="Times New Roman"/>
          <w:lang w:val="pl-PL"/>
        </w:rPr>
        <w:t xml:space="preserve">. </w:t>
      </w:r>
      <w:r w:rsidR="004C61AD" w:rsidRPr="003329C7">
        <w:rPr>
          <w:rFonts w:ascii="Times New Roman" w:hAnsi="Times New Roman"/>
          <w:lang w:val="pl-PL"/>
        </w:rPr>
        <w:t>Nadkład zalegający</w:t>
      </w:r>
      <w:r w:rsidR="0065650A" w:rsidRPr="003329C7">
        <w:rPr>
          <w:rFonts w:ascii="Times New Roman" w:hAnsi="Times New Roman"/>
          <w:lang w:val="pl-PL"/>
        </w:rPr>
        <w:t xml:space="preserve"> jeszcze</w:t>
      </w:r>
      <w:r w:rsidR="004C61AD" w:rsidRPr="003329C7">
        <w:rPr>
          <w:rFonts w:ascii="Times New Roman" w:hAnsi="Times New Roman"/>
          <w:lang w:val="pl-PL"/>
        </w:rPr>
        <w:t xml:space="preserve"> nad </w:t>
      </w:r>
      <w:r w:rsidR="00A269BD" w:rsidRPr="003329C7">
        <w:rPr>
          <w:rFonts w:ascii="Times New Roman" w:hAnsi="Times New Roman"/>
          <w:lang w:val="pl-PL"/>
        </w:rPr>
        <w:t>północnym fragmentem z</w:t>
      </w:r>
      <w:r w:rsidR="00F1703F" w:rsidRPr="003329C7">
        <w:rPr>
          <w:rFonts w:ascii="Times New Roman" w:hAnsi="Times New Roman"/>
          <w:lang w:val="pl-PL"/>
        </w:rPr>
        <w:t xml:space="preserve">łoża </w:t>
      </w:r>
      <w:r w:rsidR="00B9228B" w:rsidRPr="003329C7">
        <w:rPr>
          <w:rFonts w:ascii="Times New Roman" w:hAnsi="Times New Roman"/>
          <w:lang w:val="pl-PL"/>
        </w:rPr>
        <w:t>oraz występujące w</w:t>
      </w:r>
      <w:r w:rsidR="00CA05FC">
        <w:rPr>
          <w:rFonts w:ascii="Times New Roman" w:hAnsi="Times New Roman"/>
          <w:lang w:val="pl-PL"/>
        </w:rPr>
        <w:t> </w:t>
      </w:r>
      <w:r w:rsidR="00B9228B" w:rsidRPr="003329C7">
        <w:rPr>
          <w:rFonts w:ascii="Times New Roman" w:hAnsi="Times New Roman"/>
          <w:lang w:val="pl-PL"/>
        </w:rPr>
        <w:t xml:space="preserve">złożu przerosty nieużyteczne zwałowane będą </w:t>
      </w:r>
      <w:r w:rsidR="00D00D19" w:rsidRPr="003329C7">
        <w:rPr>
          <w:rFonts w:ascii="Times New Roman" w:hAnsi="Times New Roman"/>
          <w:lang w:val="pl-PL"/>
        </w:rPr>
        <w:t>w</w:t>
      </w:r>
      <w:r w:rsidR="0065650A" w:rsidRPr="003329C7">
        <w:rPr>
          <w:rFonts w:ascii="Times New Roman" w:hAnsi="Times New Roman"/>
          <w:lang w:val="pl-PL"/>
        </w:rPr>
        <w:t xml:space="preserve"> </w:t>
      </w:r>
      <w:r w:rsidR="003329C7" w:rsidRPr="003329C7">
        <w:rPr>
          <w:rFonts w:ascii="Times New Roman" w:hAnsi="Times New Roman"/>
          <w:lang w:val="pl-PL"/>
        </w:rPr>
        <w:t>tymczasowych zwałowiskach wewnętrznych,</w:t>
      </w:r>
      <w:r w:rsidR="0065650A" w:rsidRPr="003329C7">
        <w:rPr>
          <w:rFonts w:ascii="Times New Roman" w:hAnsi="Times New Roman"/>
          <w:lang w:val="pl-PL"/>
        </w:rPr>
        <w:t xml:space="preserve"> </w:t>
      </w:r>
      <w:r w:rsidR="00D00D19" w:rsidRPr="003329C7">
        <w:rPr>
          <w:rFonts w:ascii="Times New Roman" w:hAnsi="Times New Roman"/>
          <w:lang w:val="pl-PL"/>
        </w:rPr>
        <w:t xml:space="preserve">a także na </w:t>
      </w:r>
      <w:r w:rsidR="003329C7" w:rsidRPr="003329C7">
        <w:rPr>
          <w:rFonts w:ascii="Times New Roman" w:hAnsi="Times New Roman"/>
          <w:lang w:val="pl-PL"/>
        </w:rPr>
        <w:t>wałach ochronnych wokół wyrobiska</w:t>
      </w:r>
      <w:r w:rsidR="00CA05FC">
        <w:rPr>
          <w:rFonts w:ascii="Times New Roman" w:hAnsi="Times New Roman"/>
          <w:lang w:val="pl-PL"/>
        </w:rPr>
        <w:t>,</w:t>
      </w:r>
      <w:r w:rsidR="003329C7" w:rsidRPr="003329C7">
        <w:rPr>
          <w:rFonts w:ascii="Times New Roman" w:hAnsi="Times New Roman"/>
          <w:lang w:val="pl-PL"/>
        </w:rPr>
        <w:t xml:space="preserve"> stanowiących ekran buforowy o szerokości podstawy ca 3 m i wysokości ca 1,5 m.</w:t>
      </w:r>
      <w:r w:rsidR="00B9228B" w:rsidRPr="003329C7">
        <w:rPr>
          <w:rFonts w:ascii="Times New Roman" w:hAnsi="Times New Roman"/>
          <w:lang w:val="pl-PL"/>
        </w:rPr>
        <w:t xml:space="preserve">     </w:t>
      </w:r>
    </w:p>
    <w:p w14:paraId="599A71D0" w14:textId="78C54AD8" w:rsidR="002147D8" w:rsidRDefault="00FB24D0" w:rsidP="0065650A">
      <w:pPr>
        <w:ind w:firstLine="708"/>
        <w:jc w:val="both"/>
        <w:rPr>
          <w:rFonts w:ascii="Times New Roman" w:hAnsi="Times New Roman"/>
          <w:lang w:val="pl-PL"/>
        </w:rPr>
      </w:pPr>
      <w:r w:rsidRPr="0005445A">
        <w:rPr>
          <w:rFonts w:ascii="Times New Roman" w:hAnsi="Times New Roman"/>
          <w:lang w:val="pl-PL"/>
        </w:rPr>
        <w:t xml:space="preserve">Według </w:t>
      </w:r>
      <w:r w:rsidR="008A24CD" w:rsidRPr="0005445A">
        <w:rPr>
          <w:rFonts w:ascii="Times New Roman" w:hAnsi="Times New Roman"/>
          <w:lang w:val="pl-PL"/>
        </w:rPr>
        <w:t>Dodatku nr 1 do d</w:t>
      </w:r>
      <w:r w:rsidRPr="0005445A">
        <w:rPr>
          <w:rFonts w:ascii="Times New Roman" w:hAnsi="Times New Roman"/>
          <w:i/>
          <w:lang w:val="pl-PL"/>
        </w:rPr>
        <w:t xml:space="preserve">okumentacji hydrogeologicznej określającej warunki hydrogeologiczne, w związku z projektowanym odwadnianiem złoża wapieni dewońskich „Kostomłoty” </w:t>
      </w:r>
      <w:r w:rsidRPr="0005445A">
        <w:rPr>
          <w:rFonts w:ascii="Times New Roman" w:hAnsi="Times New Roman"/>
          <w:lang w:val="pl-PL"/>
        </w:rPr>
        <w:t>przypuszczalny zasięg leja depresji przy docelowej rzędnej eksploatacji (+</w:t>
      </w:r>
      <w:r w:rsidR="008A24CD" w:rsidRPr="0005445A">
        <w:rPr>
          <w:rFonts w:ascii="Times New Roman" w:hAnsi="Times New Roman"/>
          <w:lang w:val="pl-PL"/>
        </w:rPr>
        <w:t>222</w:t>
      </w:r>
      <w:r w:rsidRPr="0005445A">
        <w:rPr>
          <w:rFonts w:ascii="Times New Roman" w:hAnsi="Times New Roman"/>
          <w:lang w:val="pl-PL"/>
        </w:rPr>
        <w:t xml:space="preserve"> m n.p.m.) wyniesie </w:t>
      </w:r>
      <w:r w:rsidR="008A24CD" w:rsidRPr="0005445A">
        <w:rPr>
          <w:rFonts w:ascii="Times New Roman" w:hAnsi="Times New Roman"/>
          <w:lang w:val="pl-PL"/>
        </w:rPr>
        <w:t>598,6</w:t>
      </w:r>
      <w:r w:rsidRPr="0005445A">
        <w:rPr>
          <w:rFonts w:ascii="Times New Roman" w:hAnsi="Times New Roman"/>
          <w:lang w:val="pl-PL"/>
        </w:rPr>
        <w:t xml:space="preserve"> m od środka wyrobiska, a dopływ wód podziemnych </w:t>
      </w:r>
      <w:r w:rsidR="005270B3">
        <w:rPr>
          <w:rFonts w:ascii="Times New Roman" w:hAnsi="Times New Roman"/>
          <w:lang w:val="pl-PL"/>
        </w:rPr>
        <w:t>przy odwadnianiu tego poziomu</w:t>
      </w:r>
      <w:r w:rsidRPr="0005445A">
        <w:rPr>
          <w:rFonts w:ascii="Times New Roman" w:hAnsi="Times New Roman"/>
          <w:lang w:val="pl-PL"/>
        </w:rPr>
        <w:t xml:space="preserve"> będzie wynosił około </w:t>
      </w:r>
      <w:r w:rsidR="008A24CD" w:rsidRPr="0005445A">
        <w:rPr>
          <w:rFonts w:ascii="Times New Roman" w:hAnsi="Times New Roman"/>
          <w:lang w:val="pl-PL"/>
        </w:rPr>
        <w:t>27,2</w:t>
      </w:r>
      <w:r w:rsidRPr="0005445A">
        <w:rPr>
          <w:rFonts w:ascii="Times New Roman" w:hAnsi="Times New Roman"/>
          <w:lang w:val="pl-PL"/>
        </w:rPr>
        <w:t xml:space="preserve"> m</w:t>
      </w:r>
      <w:r w:rsidRPr="0005445A">
        <w:rPr>
          <w:rFonts w:ascii="Times New Roman" w:hAnsi="Times New Roman"/>
          <w:vertAlign w:val="superscript"/>
          <w:lang w:val="pl-PL"/>
        </w:rPr>
        <w:t>3</w:t>
      </w:r>
      <w:r w:rsidRPr="0005445A">
        <w:rPr>
          <w:rFonts w:ascii="Times New Roman" w:hAnsi="Times New Roman"/>
          <w:lang w:val="pl-PL"/>
        </w:rPr>
        <w:t xml:space="preserve">/h. Należy przy tym dodać, że Kopalnia „Kostomłoty” znajduje się w zasięgu </w:t>
      </w:r>
      <w:r w:rsidR="00CA05FC">
        <w:rPr>
          <w:rFonts w:ascii="Times New Roman" w:hAnsi="Times New Roman"/>
          <w:lang w:val="pl-PL"/>
        </w:rPr>
        <w:t xml:space="preserve">oddziaływania odwadniania złoża </w:t>
      </w:r>
      <w:r w:rsidRPr="0005445A">
        <w:rPr>
          <w:rFonts w:ascii="Times New Roman" w:hAnsi="Times New Roman"/>
          <w:lang w:val="pl-PL"/>
        </w:rPr>
        <w:t xml:space="preserve">„Laskowa Góra”, </w:t>
      </w:r>
      <w:r w:rsidR="00CA05FC">
        <w:rPr>
          <w:rFonts w:ascii="Times New Roman" w:hAnsi="Times New Roman"/>
          <w:lang w:val="pl-PL"/>
        </w:rPr>
        <w:t>którego</w:t>
      </w:r>
      <w:r w:rsidRPr="0005445A">
        <w:rPr>
          <w:rFonts w:ascii="Times New Roman" w:hAnsi="Times New Roman"/>
          <w:lang w:val="pl-PL"/>
        </w:rPr>
        <w:t xml:space="preserve"> docelowa rzędna eksploatacji wynosi +2</w:t>
      </w:r>
      <w:r w:rsidR="00773F78" w:rsidRPr="0005445A">
        <w:rPr>
          <w:rFonts w:ascii="Times New Roman" w:hAnsi="Times New Roman"/>
          <w:lang w:val="pl-PL"/>
        </w:rPr>
        <w:t>05</w:t>
      </w:r>
      <w:r w:rsidRPr="0005445A">
        <w:rPr>
          <w:rFonts w:ascii="Times New Roman" w:hAnsi="Times New Roman"/>
          <w:lang w:val="pl-PL"/>
        </w:rPr>
        <w:t xml:space="preserve"> m n.p.m.</w:t>
      </w:r>
      <w:r w:rsidR="00773F78" w:rsidRPr="0005445A">
        <w:rPr>
          <w:rFonts w:ascii="Times New Roman" w:hAnsi="Times New Roman"/>
          <w:lang w:val="pl-PL"/>
        </w:rPr>
        <w:t xml:space="preserve"> </w:t>
      </w:r>
      <w:r w:rsidRPr="0005445A">
        <w:rPr>
          <w:rFonts w:ascii="Times New Roman" w:hAnsi="Times New Roman"/>
          <w:lang w:val="pl-PL"/>
        </w:rPr>
        <w:t>Tym samym Kopalnia „Laskowa Góra”, w której osiągnięty został już poziom +220 m n.p.m., depresjonuje zwierciadło wód poziomu górnodewońskiego w jej otoczeniu, w tym</w:t>
      </w:r>
      <w:r w:rsidR="00CA05FC">
        <w:rPr>
          <w:rFonts w:ascii="Times New Roman" w:hAnsi="Times New Roman"/>
          <w:lang w:val="pl-PL"/>
        </w:rPr>
        <w:t xml:space="preserve"> w rejonie</w:t>
      </w:r>
      <w:r w:rsidRPr="0005445A">
        <w:rPr>
          <w:rFonts w:ascii="Times New Roman" w:hAnsi="Times New Roman"/>
          <w:lang w:val="pl-PL"/>
        </w:rPr>
        <w:t xml:space="preserve"> złoż</w:t>
      </w:r>
      <w:r w:rsidR="00CA05FC">
        <w:rPr>
          <w:rFonts w:ascii="Times New Roman" w:hAnsi="Times New Roman"/>
          <w:lang w:val="pl-PL"/>
        </w:rPr>
        <w:t>a</w:t>
      </w:r>
      <w:r w:rsidRPr="0005445A">
        <w:rPr>
          <w:rFonts w:ascii="Times New Roman" w:hAnsi="Times New Roman"/>
          <w:lang w:val="pl-PL"/>
        </w:rPr>
        <w:t xml:space="preserve"> „Kostomłoty”. Oznacza to, że, faktyczna ilość wód podziemnych dopływających na poszczególne poziomy złoża „Kostomłoty” i wymagająca odprowadzenia możliwa będzie do określenia w trakcie odwadniania złoża. </w:t>
      </w:r>
    </w:p>
    <w:p w14:paraId="6AD2F011" w14:textId="7987FCAB" w:rsidR="00FB24D0" w:rsidRPr="0005445A" w:rsidRDefault="002147D8" w:rsidP="0065650A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Spółka </w:t>
      </w:r>
      <w:r w:rsidRPr="002147D8">
        <w:rPr>
          <w:rFonts w:ascii="Times New Roman" w:hAnsi="Times New Roman"/>
          <w:lang w:val="pl-PL"/>
        </w:rPr>
        <w:t>Kopalnia Kostomłoty Sp. z o.o</w:t>
      </w:r>
      <w:r w:rsidRPr="00B94321">
        <w:rPr>
          <w:rFonts w:ascii="Times New Roman" w:hAnsi="Times New Roman"/>
          <w:lang w:val="pl-PL"/>
        </w:rPr>
        <w:t xml:space="preserve"> zawarła z </w:t>
      </w:r>
      <w:r w:rsidR="002943EA">
        <w:rPr>
          <w:rFonts w:ascii="Times New Roman" w:hAnsi="Times New Roman"/>
          <w:lang w:val="pl-PL"/>
        </w:rPr>
        <w:t>użytkownikiem</w:t>
      </w:r>
      <w:r w:rsidRPr="00B94321">
        <w:rPr>
          <w:rFonts w:ascii="Times New Roman" w:hAnsi="Times New Roman"/>
          <w:lang w:val="pl-PL"/>
        </w:rPr>
        <w:t xml:space="preserve"> złoża „</w:t>
      </w:r>
      <w:r w:rsidR="002943EA" w:rsidRPr="0005445A">
        <w:rPr>
          <w:rFonts w:ascii="Times New Roman" w:hAnsi="Times New Roman"/>
          <w:lang w:val="pl-PL"/>
        </w:rPr>
        <w:t>Laskowa Góra</w:t>
      </w:r>
      <w:r w:rsidRPr="00B94321">
        <w:rPr>
          <w:rFonts w:ascii="Times New Roman" w:hAnsi="Times New Roman"/>
          <w:lang w:val="pl-PL"/>
        </w:rPr>
        <w:t xml:space="preserve">”, porozumienie w sprawie </w:t>
      </w:r>
      <w:r w:rsidR="002943EA">
        <w:rPr>
          <w:rFonts w:ascii="Times New Roman" w:hAnsi="Times New Roman"/>
          <w:lang w:val="pl-PL"/>
        </w:rPr>
        <w:t>pozostawienia 2</w:t>
      </w:r>
      <w:r w:rsidR="009C5A7A">
        <w:rPr>
          <w:rFonts w:ascii="Times New Roman" w:hAnsi="Times New Roman"/>
          <w:lang w:val="pl-PL"/>
        </w:rPr>
        <w:t> </w:t>
      </w:r>
      <w:r w:rsidR="002943EA">
        <w:rPr>
          <w:rFonts w:ascii="Times New Roman" w:hAnsi="Times New Roman"/>
          <w:lang w:val="pl-PL"/>
        </w:rPr>
        <w:t xml:space="preserve">m szerokości pasa ochronnego wzdłuż działki 27/77 obr. Kostomłoty </w:t>
      </w:r>
      <w:r w:rsidR="003E491E">
        <w:rPr>
          <w:rFonts w:ascii="Times New Roman" w:hAnsi="Times New Roman"/>
          <w:lang w:val="pl-PL"/>
        </w:rPr>
        <w:t>Drugie</w:t>
      </w:r>
      <w:r w:rsidRPr="00B94321">
        <w:rPr>
          <w:rFonts w:ascii="Times New Roman" w:hAnsi="Times New Roman"/>
          <w:lang w:val="pl-PL"/>
        </w:rPr>
        <w:t>.</w:t>
      </w:r>
    </w:p>
    <w:p w14:paraId="37B93187" w14:textId="43D537E8" w:rsidR="00380346" w:rsidRDefault="00380346" w:rsidP="00540ED5">
      <w:pPr>
        <w:ind w:firstLine="708"/>
        <w:jc w:val="both"/>
        <w:rPr>
          <w:rFonts w:ascii="Times New Roman" w:hAnsi="Times New Roman"/>
          <w:lang w:val="pl-PL"/>
        </w:rPr>
      </w:pPr>
      <w:r w:rsidRPr="005E1BAB">
        <w:rPr>
          <w:rFonts w:ascii="Times New Roman" w:hAnsi="Times New Roman"/>
          <w:lang w:val="pl-PL"/>
        </w:rPr>
        <w:t xml:space="preserve">Wobec powyższych ustaleń uznano za zasadny wniosek </w:t>
      </w:r>
      <w:r w:rsidR="00D00D19" w:rsidRPr="005E1BAB">
        <w:rPr>
          <w:rFonts w:ascii="Times New Roman" w:hAnsi="Times New Roman"/>
          <w:lang w:val="pl-PL"/>
        </w:rPr>
        <w:t xml:space="preserve">spółki </w:t>
      </w:r>
      <w:r w:rsidR="00FC04C9" w:rsidRPr="00FC04C9">
        <w:rPr>
          <w:rFonts w:ascii="Times New Roman" w:hAnsi="Times New Roman"/>
          <w:lang w:val="pl-PL"/>
        </w:rPr>
        <w:t xml:space="preserve">Kopalnia Kostomłoty Sp. z o.o. </w:t>
      </w:r>
      <w:r w:rsidRPr="005E1BAB">
        <w:rPr>
          <w:rFonts w:ascii="Times New Roman" w:hAnsi="Times New Roman"/>
          <w:lang w:val="pl-PL"/>
        </w:rPr>
        <w:t>o zmianę koncesji w części dotyczącej</w:t>
      </w:r>
      <w:r w:rsidR="00CA05FC">
        <w:rPr>
          <w:rFonts w:ascii="Times New Roman" w:hAnsi="Times New Roman"/>
          <w:lang w:val="pl-PL"/>
        </w:rPr>
        <w:t xml:space="preserve"> zmiany</w:t>
      </w:r>
      <w:r w:rsidRPr="005E1BAB">
        <w:rPr>
          <w:rFonts w:ascii="Times New Roman" w:hAnsi="Times New Roman"/>
          <w:lang w:val="pl-PL"/>
        </w:rPr>
        <w:t xml:space="preserve"> granic obszaru i terenu górniczego</w:t>
      </w:r>
      <w:r w:rsidR="008D35F9" w:rsidRPr="005E1BAB">
        <w:rPr>
          <w:rFonts w:ascii="Times New Roman" w:hAnsi="Times New Roman"/>
          <w:lang w:val="pl-PL"/>
        </w:rPr>
        <w:t>. Niniejszą decyzją zmieniono</w:t>
      </w:r>
      <w:r w:rsidRPr="005E1BAB">
        <w:rPr>
          <w:rFonts w:ascii="Times New Roman" w:hAnsi="Times New Roman"/>
          <w:lang w:val="pl-PL"/>
        </w:rPr>
        <w:t xml:space="preserve"> także pozostałą treść koncesji, w celu ujednolicenia i dostosowania zapisów koncesji do aktualnie obowiązujących przepisów prawa oraz</w:t>
      </w:r>
      <w:r w:rsidRPr="00FB0EB1">
        <w:rPr>
          <w:rFonts w:ascii="Times New Roman" w:hAnsi="Times New Roman"/>
          <w:lang w:val="pl-PL"/>
        </w:rPr>
        <w:t xml:space="preserve"> przedłożonych dokumentów</w:t>
      </w:r>
      <w:r w:rsidR="005270B3">
        <w:rPr>
          <w:rFonts w:ascii="Times New Roman" w:hAnsi="Times New Roman"/>
          <w:lang w:val="pl-PL"/>
        </w:rPr>
        <w:t>,</w:t>
      </w:r>
      <w:r w:rsidRPr="00FB0EB1">
        <w:rPr>
          <w:rFonts w:ascii="Times New Roman" w:hAnsi="Times New Roman"/>
          <w:lang w:val="pl-PL"/>
        </w:rPr>
        <w:t xml:space="preserve"> stanowiących podstawę do prowadzenia działalności wydobywczej na złożu „</w:t>
      </w:r>
      <w:r w:rsidR="00A70518">
        <w:rPr>
          <w:rFonts w:ascii="Times New Roman" w:hAnsi="Times New Roman"/>
          <w:lang w:val="pl-PL"/>
        </w:rPr>
        <w:t>Kostomłoty</w:t>
      </w:r>
      <w:r w:rsidRPr="00FB0EB1">
        <w:rPr>
          <w:rFonts w:ascii="Times New Roman" w:hAnsi="Times New Roman"/>
          <w:lang w:val="pl-PL"/>
        </w:rPr>
        <w:t>”.</w:t>
      </w:r>
    </w:p>
    <w:p w14:paraId="6D509857" w14:textId="65CE876F" w:rsidR="00772990" w:rsidRDefault="00772990" w:rsidP="00540ED5">
      <w:pPr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 przedmiotowym postępowaniu organ ustalił więcej niż 20 stron postępowania, w</w:t>
      </w:r>
      <w:r w:rsidR="00415064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związku z powyższym o </w:t>
      </w:r>
      <w:r w:rsidR="003E491E">
        <w:rPr>
          <w:rFonts w:ascii="Times New Roman" w:hAnsi="Times New Roman"/>
          <w:lang w:val="pl-PL"/>
        </w:rPr>
        <w:t>każdej</w:t>
      </w:r>
      <w:r>
        <w:rPr>
          <w:rFonts w:ascii="Times New Roman" w:hAnsi="Times New Roman"/>
          <w:lang w:val="pl-PL"/>
        </w:rPr>
        <w:t xml:space="preserve"> czynności </w:t>
      </w:r>
      <w:r w:rsidR="003E491E">
        <w:rPr>
          <w:rFonts w:ascii="Times New Roman" w:hAnsi="Times New Roman"/>
          <w:lang w:val="pl-PL"/>
        </w:rPr>
        <w:t xml:space="preserve">organu </w:t>
      </w:r>
      <w:r>
        <w:rPr>
          <w:rFonts w:ascii="Times New Roman" w:hAnsi="Times New Roman"/>
          <w:lang w:val="pl-PL"/>
        </w:rPr>
        <w:t>strony zostały poinformowane w trybie przepisów art. 41 ust. 3 Prawa geologicznego i górniczego poprzez obwieszczenie</w:t>
      </w:r>
      <w:r w:rsidR="00CB237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  <w:r w:rsidRPr="003329C7">
        <w:rPr>
          <w:rFonts w:ascii="Times New Roman" w:hAnsi="Times New Roman"/>
          <w:lang w:val="pl-PL"/>
        </w:rPr>
        <w:t xml:space="preserve">Jednocześnie </w:t>
      </w:r>
      <w:r>
        <w:rPr>
          <w:rFonts w:ascii="Times New Roman" w:hAnsi="Times New Roman"/>
          <w:lang w:val="pl-PL"/>
        </w:rPr>
        <w:t xml:space="preserve">organ wystąpił </w:t>
      </w:r>
      <w:r w:rsidR="00CD464E">
        <w:rPr>
          <w:rFonts w:ascii="Times New Roman" w:hAnsi="Times New Roman"/>
          <w:lang w:val="pl-PL"/>
        </w:rPr>
        <w:t>w dni</w:t>
      </w:r>
      <w:r w:rsidR="00434758">
        <w:rPr>
          <w:rFonts w:ascii="Times New Roman" w:hAnsi="Times New Roman"/>
          <w:lang w:val="pl-PL"/>
        </w:rPr>
        <w:t xml:space="preserve">u 28.06.2022 r </w:t>
      </w:r>
      <w:r w:rsidR="00CD464E">
        <w:rPr>
          <w:rFonts w:ascii="Times New Roman" w:hAnsi="Times New Roman"/>
          <w:lang w:val="pl-PL"/>
        </w:rPr>
        <w:t>do Starostwa Powiatowego w</w:t>
      </w:r>
      <w:r w:rsidR="0005445A">
        <w:rPr>
          <w:rFonts w:ascii="Times New Roman" w:hAnsi="Times New Roman"/>
          <w:lang w:val="pl-PL"/>
        </w:rPr>
        <w:t> </w:t>
      </w:r>
      <w:r w:rsidR="00CD464E">
        <w:rPr>
          <w:rFonts w:ascii="Times New Roman" w:hAnsi="Times New Roman"/>
          <w:lang w:val="pl-PL"/>
        </w:rPr>
        <w:t>Kielcach, z</w:t>
      </w:r>
      <w:r w:rsidR="00CB2378">
        <w:rPr>
          <w:rFonts w:ascii="Times New Roman" w:hAnsi="Times New Roman"/>
          <w:lang w:val="pl-PL"/>
        </w:rPr>
        <w:t> </w:t>
      </w:r>
      <w:r w:rsidR="00CD464E">
        <w:rPr>
          <w:rFonts w:ascii="Times New Roman" w:hAnsi="Times New Roman"/>
          <w:lang w:val="pl-PL"/>
        </w:rPr>
        <w:t xml:space="preserve">wnioskiem o udostępnienie danych zgromadzonych w </w:t>
      </w:r>
      <w:bookmarkStart w:id="12" w:name="_Hlk119413109"/>
      <w:r w:rsidR="00CD464E">
        <w:rPr>
          <w:rFonts w:ascii="Times New Roman" w:hAnsi="Times New Roman"/>
          <w:lang w:val="pl-PL"/>
        </w:rPr>
        <w:t>ewidencji gruntów i</w:t>
      </w:r>
      <w:r w:rsidR="0005445A">
        <w:rPr>
          <w:rFonts w:ascii="Times New Roman" w:hAnsi="Times New Roman"/>
          <w:lang w:val="pl-PL"/>
        </w:rPr>
        <w:t> </w:t>
      </w:r>
      <w:r w:rsidR="00CD464E">
        <w:rPr>
          <w:rFonts w:ascii="Times New Roman" w:hAnsi="Times New Roman"/>
          <w:lang w:val="pl-PL"/>
        </w:rPr>
        <w:t>budynków</w:t>
      </w:r>
      <w:bookmarkEnd w:id="12"/>
      <w:r w:rsidR="00CD464E">
        <w:rPr>
          <w:rFonts w:ascii="Times New Roman" w:hAnsi="Times New Roman"/>
          <w:lang w:val="pl-PL"/>
        </w:rPr>
        <w:t>, celem ustalenia wszystkich właścicieli nieruchomości gruntowych</w:t>
      </w:r>
      <w:r w:rsidR="00CA05FC">
        <w:rPr>
          <w:rFonts w:ascii="Times New Roman" w:hAnsi="Times New Roman"/>
          <w:lang w:val="pl-PL"/>
        </w:rPr>
        <w:t xml:space="preserve"> </w:t>
      </w:r>
      <w:r w:rsidR="00CA05FC" w:rsidRPr="00CA05FC">
        <w:rPr>
          <w:rFonts w:ascii="Times New Roman" w:hAnsi="Times New Roman"/>
          <w:lang w:val="pl-PL"/>
        </w:rPr>
        <w:t xml:space="preserve">w granicach projektowanego obszaru górniczego i terenu górniczego o nazwie „Kostomłoty V” </w:t>
      </w:r>
      <w:r w:rsidR="00CA05FC">
        <w:rPr>
          <w:rFonts w:ascii="Times New Roman" w:hAnsi="Times New Roman"/>
          <w:lang w:val="pl-PL"/>
        </w:rPr>
        <w:t>(strony w postępowaniu).</w:t>
      </w:r>
      <w:r w:rsidR="00CD464E">
        <w:rPr>
          <w:rFonts w:ascii="Times New Roman" w:hAnsi="Times New Roman"/>
          <w:lang w:val="pl-PL"/>
        </w:rPr>
        <w:t xml:space="preserve"> </w:t>
      </w:r>
      <w:r w:rsidR="00434758">
        <w:rPr>
          <w:rFonts w:ascii="Times New Roman" w:hAnsi="Times New Roman"/>
          <w:lang w:val="pl-PL"/>
        </w:rPr>
        <w:t xml:space="preserve">Wobec nie otrzymania wszystkich danych </w:t>
      </w:r>
      <w:r w:rsidR="00CA05FC">
        <w:rPr>
          <w:rFonts w:ascii="Times New Roman" w:hAnsi="Times New Roman"/>
          <w:lang w:val="pl-PL"/>
        </w:rPr>
        <w:t xml:space="preserve">tut. </w:t>
      </w:r>
      <w:r w:rsidR="00434758">
        <w:rPr>
          <w:rFonts w:ascii="Times New Roman" w:hAnsi="Times New Roman"/>
          <w:lang w:val="pl-PL"/>
        </w:rPr>
        <w:t>organ ponownie wystąpił w dniu</w:t>
      </w:r>
      <w:r w:rsidR="00CD464E">
        <w:rPr>
          <w:rFonts w:ascii="Times New Roman" w:hAnsi="Times New Roman"/>
          <w:lang w:val="pl-PL"/>
        </w:rPr>
        <w:t xml:space="preserve"> </w:t>
      </w:r>
      <w:r w:rsidR="00434758">
        <w:rPr>
          <w:rFonts w:ascii="Times New Roman" w:hAnsi="Times New Roman"/>
          <w:lang w:val="pl-PL"/>
        </w:rPr>
        <w:t xml:space="preserve">03.08.2022 r. do Starostwa Powiatowego w Kielcach, o uzupełnienie przesłanych wcześniej </w:t>
      </w:r>
      <w:r w:rsidR="00CA05FC">
        <w:rPr>
          <w:rFonts w:ascii="Times New Roman" w:hAnsi="Times New Roman"/>
          <w:lang w:val="pl-PL"/>
        </w:rPr>
        <w:t>informacji</w:t>
      </w:r>
      <w:r w:rsidR="00434758">
        <w:rPr>
          <w:rFonts w:ascii="Times New Roman" w:hAnsi="Times New Roman"/>
          <w:lang w:val="pl-PL"/>
        </w:rPr>
        <w:t>. Ostatecznie organ otrzymał wypisy</w:t>
      </w:r>
      <w:r w:rsidR="00CA05FC">
        <w:rPr>
          <w:rFonts w:ascii="Times New Roman" w:hAnsi="Times New Roman"/>
          <w:lang w:val="pl-PL"/>
        </w:rPr>
        <w:t xml:space="preserve"> z </w:t>
      </w:r>
      <w:r w:rsidR="00CA05FC" w:rsidRPr="00CA05FC">
        <w:rPr>
          <w:rFonts w:ascii="Times New Roman" w:hAnsi="Times New Roman"/>
          <w:lang w:val="pl-PL"/>
        </w:rPr>
        <w:t>ewidencji gruntów i budynków</w:t>
      </w:r>
      <w:r w:rsidR="00434758">
        <w:rPr>
          <w:rFonts w:ascii="Times New Roman" w:hAnsi="Times New Roman"/>
          <w:lang w:val="pl-PL"/>
        </w:rPr>
        <w:t xml:space="preserve"> w dniu </w:t>
      </w:r>
      <w:r w:rsidR="00773F78">
        <w:rPr>
          <w:rFonts w:ascii="Times New Roman" w:hAnsi="Times New Roman"/>
          <w:lang w:val="pl-PL"/>
        </w:rPr>
        <w:t>12.09.2022 r.</w:t>
      </w:r>
    </w:p>
    <w:p w14:paraId="56ADDB4A" w14:textId="275D34AD" w:rsidR="00172A5F" w:rsidRDefault="00172A5F" w:rsidP="00172A5F">
      <w:pPr>
        <w:ind w:firstLine="708"/>
        <w:jc w:val="both"/>
        <w:rPr>
          <w:rFonts w:ascii="Times New Roman" w:hAnsi="Times New Roman"/>
          <w:lang w:val="pl-PL"/>
        </w:rPr>
      </w:pPr>
      <w:r w:rsidRPr="00F36749">
        <w:rPr>
          <w:rFonts w:ascii="Times New Roman" w:hAnsi="Times New Roman"/>
          <w:lang w:val="pl-PL"/>
        </w:rPr>
        <w:t>W toku prowadzonego postępowania, stosownie do art. 23 ust. 2 pkt. 2,</w:t>
      </w:r>
      <w:r w:rsidRPr="00F36749">
        <w:rPr>
          <w:rFonts w:ascii="Times New Roman" w:hAnsi="Times New Roman"/>
          <w:color w:val="000000"/>
          <w:lang w:val="pl-PL"/>
        </w:rPr>
        <w:t xml:space="preserve"> w związku z art.</w:t>
      </w:r>
      <w:r w:rsidR="00CA05FC">
        <w:rPr>
          <w:rFonts w:ascii="Times New Roman" w:hAnsi="Times New Roman"/>
          <w:color w:val="000000"/>
          <w:lang w:val="pl-PL"/>
        </w:rPr>
        <w:t> </w:t>
      </w:r>
      <w:r w:rsidRPr="00F36749">
        <w:rPr>
          <w:rFonts w:ascii="Times New Roman" w:hAnsi="Times New Roman"/>
          <w:color w:val="000000"/>
          <w:lang w:val="pl-PL"/>
        </w:rPr>
        <w:t>34 ust. 1a ustawy – Prawo geologiczne i górnicze,</w:t>
      </w:r>
      <w:r w:rsidRPr="00F36749">
        <w:rPr>
          <w:rFonts w:ascii="Times New Roman" w:hAnsi="Times New Roman"/>
          <w:lang w:val="pl-PL"/>
        </w:rPr>
        <w:t xml:space="preserve"> pismem z dnia </w:t>
      </w:r>
      <w:r w:rsidR="00CB2378">
        <w:rPr>
          <w:rFonts w:ascii="Times New Roman" w:hAnsi="Times New Roman"/>
          <w:lang w:val="pl-PL"/>
        </w:rPr>
        <w:t>15.09.2022r.</w:t>
      </w:r>
      <w:r w:rsidRPr="00F36749">
        <w:rPr>
          <w:rFonts w:ascii="Times New Roman" w:hAnsi="Times New Roman"/>
          <w:lang w:val="pl-PL"/>
        </w:rPr>
        <w:t xml:space="preserve"> znak:</w:t>
      </w:r>
      <w:r w:rsidR="00723960">
        <w:rPr>
          <w:rFonts w:ascii="Times New Roman" w:hAnsi="Times New Roman"/>
          <w:lang w:val="pl-PL"/>
        </w:rPr>
        <w:t>ŚO-V.7422.</w:t>
      </w:r>
      <w:r w:rsidR="0081015E">
        <w:rPr>
          <w:rFonts w:ascii="Times New Roman" w:hAnsi="Times New Roman"/>
          <w:lang w:val="pl-PL"/>
        </w:rPr>
        <w:t>1</w:t>
      </w:r>
      <w:r w:rsidR="00723960">
        <w:rPr>
          <w:rFonts w:ascii="Times New Roman" w:hAnsi="Times New Roman"/>
          <w:lang w:val="pl-PL"/>
        </w:rPr>
        <w:t>.</w:t>
      </w:r>
      <w:r w:rsidR="0081015E">
        <w:rPr>
          <w:rFonts w:ascii="Times New Roman" w:hAnsi="Times New Roman"/>
          <w:lang w:val="pl-PL"/>
        </w:rPr>
        <w:t>1</w:t>
      </w:r>
      <w:r w:rsidR="00415064">
        <w:rPr>
          <w:rFonts w:ascii="Times New Roman" w:hAnsi="Times New Roman"/>
          <w:lang w:val="pl-PL"/>
        </w:rPr>
        <w:t>5</w:t>
      </w:r>
      <w:r w:rsidR="0081015E">
        <w:rPr>
          <w:rFonts w:ascii="Times New Roman" w:hAnsi="Times New Roman"/>
          <w:lang w:val="pl-PL"/>
        </w:rPr>
        <w:t>.</w:t>
      </w:r>
      <w:r w:rsidR="00723960">
        <w:rPr>
          <w:rFonts w:ascii="Times New Roman" w:hAnsi="Times New Roman"/>
          <w:lang w:val="pl-PL"/>
        </w:rPr>
        <w:t>202</w:t>
      </w:r>
      <w:r w:rsidR="0081015E">
        <w:rPr>
          <w:rFonts w:ascii="Times New Roman" w:hAnsi="Times New Roman"/>
          <w:lang w:val="pl-PL"/>
        </w:rPr>
        <w:t>2</w:t>
      </w:r>
      <w:r w:rsidRPr="00F36749">
        <w:rPr>
          <w:rFonts w:ascii="Times New Roman" w:hAnsi="Times New Roman"/>
          <w:lang w:val="pl-PL"/>
        </w:rPr>
        <w:t xml:space="preserve">, do którego dołączono projekt rozstrzygnięcia (decyzji), wystąpiono do </w:t>
      </w:r>
      <w:r w:rsidR="00FC04C9">
        <w:rPr>
          <w:rFonts w:ascii="Times New Roman" w:hAnsi="Times New Roman"/>
          <w:lang w:val="pl-PL"/>
        </w:rPr>
        <w:t xml:space="preserve">Wójta </w:t>
      </w:r>
      <w:r>
        <w:rPr>
          <w:rFonts w:ascii="Times New Roman" w:hAnsi="Times New Roman"/>
          <w:lang w:val="pl-PL"/>
        </w:rPr>
        <w:t xml:space="preserve">Gminy </w:t>
      </w:r>
      <w:r w:rsidR="00FC04C9">
        <w:rPr>
          <w:rFonts w:ascii="Times New Roman" w:hAnsi="Times New Roman"/>
          <w:lang w:val="pl-PL"/>
        </w:rPr>
        <w:t xml:space="preserve">Miedziana Góra </w:t>
      </w:r>
      <w:r w:rsidRPr="00F36749">
        <w:rPr>
          <w:rFonts w:ascii="Times New Roman" w:hAnsi="Times New Roman"/>
          <w:lang w:val="pl-PL"/>
        </w:rPr>
        <w:t xml:space="preserve">o uzgodnienie stanowiska w sprawie zmiany koncesji na wydobywanie </w:t>
      </w:r>
      <w:r>
        <w:rPr>
          <w:rFonts w:ascii="Times New Roman" w:hAnsi="Times New Roman"/>
          <w:lang w:val="pl-PL"/>
        </w:rPr>
        <w:t xml:space="preserve">wapieni </w:t>
      </w:r>
      <w:r w:rsidR="00FE343D">
        <w:rPr>
          <w:rFonts w:ascii="Times New Roman" w:hAnsi="Times New Roman"/>
          <w:lang w:val="pl-PL"/>
        </w:rPr>
        <w:t xml:space="preserve">i </w:t>
      </w:r>
      <w:r w:rsidR="00FC04C9">
        <w:rPr>
          <w:rFonts w:ascii="Times New Roman" w:hAnsi="Times New Roman"/>
          <w:lang w:val="pl-PL"/>
        </w:rPr>
        <w:t>łupków</w:t>
      </w:r>
      <w:r w:rsidR="00FE343D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dewońskich</w:t>
      </w:r>
      <w:r w:rsidRPr="00F36749">
        <w:rPr>
          <w:rFonts w:ascii="Times New Roman" w:hAnsi="Times New Roman"/>
          <w:lang w:val="pl-PL"/>
        </w:rPr>
        <w:t xml:space="preserve"> z części złoża „</w:t>
      </w:r>
      <w:r w:rsidR="00A70518">
        <w:rPr>
          <w:rFonts w:ascii="Times New Roman" w:hAnsi="Times New Roman"/>
          <w:lang w:val="pl-PL"/>
        </w:rPr>
        <w:t>Kostomłoty</w:t>
      </w:r>
      <w:r w:rsidRPr="00F36749">
        <w:rPr>
          <w:rFonts w:ascii="Times New Roman" w:hAnsi="Times New Roman"/>
          <w:lang w:val="pl-PL"/>
        </w:rPr>
        <w:t xml:space="preserve">”. W odpowiedzi organ współdziałający </w:t>
      </w:r>
      <w:r>
        <w:rPr>
          <w:rFonts w:ascii="Times New Roman" w:hAnsi="Times New Roman"/>
          <w:lang w:val="pl-PL"/>
        </w:rPr>
        <w:t xml:space="preserve">w postanowieniu z dnia </w:t>
      </w:r>
      <w:r w:rsidR="00CB2378">
        <w:rPr>
          <w:rFonts w:ascii="Times New Roman" w:hAnsi="Times New Roman"/>
          <w:lang w:val="pl-PL"/>
        </w:rPr>
        <w:t>29.09.2022 r.</w:t>
      </w:r>
      <w:r>
        <w:rPr>
          <w:rFonts w:ascii="Times New Roman" w:hAnsi="Times New Roman"/>
          <w:lang w:val="pl-PL"/>
        </w:rPr>
        <w:t xml:space="preserve"> znak: </w:t>
      </w:r>
      <w:r w:rsidR="00CB2378">
        <w:rPr>
          <w:rFonts w:ascii="Times New Roman" w:hAnsi="Times New Roman"/>
          <w:lang w:val="pl-PL"/>
        </w:rPr>
        <w:t>IGPOS.6541.1.2022 uzgodnił pozytywnie stanowisko w sprawie zmiany koncesji.</w:t>
      </w:r>
      <w:r w:rsidR="00883989">
        <w:rPr>
          <w:rFonts w:ascii="Times New Roman" w:hAnsi="Times New Roman"/>
          <w:lang w:val="pl-PL"/>
        </w:rPr>
        <w:t xml:space="preserve"> </w:t>
      </w:r>
    </w:p>
    <w:p w14:paraId="6B00100A" w14:textId="77777777" w:rsidR="00FC04C9" w:rsidRDefault="00FC04C9" w:rsidP="00172A5F">
      <w:pPr>
        <w:ind w:firstLine="708"/>
        <w:jc w:val="both"/>
        <w:rPr>
          <w:rFonts w:ascii="Times New Roman" w:hAnsi="Times New Roman"/>
          <w:lang w:val="pl-PL"/>
        </w:rPr>
      </w:pPr>
    </w:p>
    <w:p w14:paraId="66C27827" w14:textId="77777777" w:rsidR="00172A5F" w:rsidRPr="007D1F87" w:rsidRDefault="00172A5F" w:rsidP="007D1F87">
      <w:pPr>
        <w:ind w:firstLine="709"/>
        <w:jc w:val="both"/>
        <w:rPr>
          <w:rFonts w:ascii="Times New Roman" w:hAnsi="Times New Roman"/>
          <w:bCs/>
          <w:lang w:val="pl-PL"/>
        </w:rPr>
      </w:pPr>
      <w:r w:rsidRPr="00F36749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14:paraId="4D885AF1" w14:textId="77777777" w:rsidR="00172A5F" w:rsidRPr="00540ED5" w:rsidRDefault="00172A5F" w:rsidP="00172A5F">
      <w:pPr>
        <w:jc w:val="both"/>
        <w:rPr>
          <w:rFonts w:ascii="Times New Roman" w:hAnsi="Times New Roman"/>
          <w:bCs/>
          <w:u w:val="single"/>
          <w:lang w:val="pl-PL"/>
        </w:rPr>
      </w:pPr>
      <w:r w:rsidRPr="00540ED5">
        <w:rPr>
          <w:rFonts w:ascii="Times New Roman" w:hAnsi="Times New Roman"/>
          <w:u w:val="single"/>
          <w:lang w:val="pl-PL"/>
        </w:rPr>
        <w:t>Pouczenie:</w:t>
      </w:r>
    </w:p>
    <w:p w14:paraId="0315A32D" w14:textId="2AD45056" w:rsidR="00172A5F" w:rsidRPr="00540ED5" w:rsidRDefault="00172A5F" w:rsidP="00172A5F">
      <w:pPr>
        <w:jc w:val="both"/>
        <w:rPr>
          <w:rFonts w:ascii="Times New Roman" w:hAnsi="Times New Roman"/>
          <w:lang w:val="pl-PL"/>
        </w:rPr>
      </w:pPr>
      <w:r w:rsidRPr="00540ED5">
        <w:rPr>
          <w:rFonts w:ascii="Times New Roman" w:hAnsi="Times New Roman"/>
          <w:lang w:val="pl-PL"/>
        </w:rPr>
        <w:t xml:space="preserve">Od niniejszej decyzji służy stronie prawo wniesienia odwołania do Ministra </w:t>
      </w:r>
      <w:r w:rsidR="0005692E">
        <w:rPr>
          <w:rFonts w:ascii="Times New Roman" w:hAnsi="Times New Roman"/>
          <w:lang w:val="pl-PL"/>
        </w:rPr>
        <w:t>Klimatu</w:t>
      </w:r>
      <w:r w:rsidR="00415064">
        <w:rPr>
          <w:rFonts w:ascii="Times New Roman" w:hAnsi="Times New Roman"/>
          <w:lang w:val="pl-PL"/>
        </w:rPr>
        <w:t xml:space="preserve"> i</w:t>
      </w:r>
      <w:r w:rsidR="008B534A">
        <w:rPr>
          <w:rFonts w:ascii="Times New Roman" w:hAnsi="Times New Roman"/>
          <w:lang w:val="pl-PL"/>
        </w:rPr>
        <w:t> </w:t>
      </w:r>
      <w:r w:rsidR="00415064">
        <w:rPr>
          <w:rFonts w:ascii="Times New Roman" w:hAnsi="Times New Roman"/>
          <w:lang w:val="pl-PL"/>
        </w:rPr>
        <w:t>Środowiska</w:t>
      </w:r>
      <w:r w:rsidRPr="00540ED5">
        <w:rPr>
          <w:rFonts w:ascii="Times New Roman" w:hAnsi="Times New Roman"/>
          <w:lang w:val="pl-PL"/>
        </w:rPr>
        <w:t xml:space="preserve"> za pośrednictwem Marszałka Województwa Świętokrzyskiego w terminie 14 dni </w:t>
      </w:r>
      <w:r w:rsidRPr="00540ED5">
        <w:rPr>
          <w:rFonts w:ascii="Times New Roman" w:hAnsi="Times New Roman"/>
          <w:lang w:val="pl-PL"/>
        </w:rPr>
        <w:lastRenderedPageBreak/>
        <w:t>od daty jej otrzymania. W trakcie biegu te</w:t>
      </w:r>
      <w:r>
        <w:rPr>
          <w:rFonts w:ascii="Times New Roman" w:hAnsi="Times New Roman"/>
          <w:lang w:val="pl-PL"/>
        </w:rPr>
        <w:t xml:space="preserve">rminu do wniesienia odwołania </w:t>
      </w:r>
      <w:r w:rsidRPr="00540ED5">
        <w:rPr>
          <w:rFonts w:ascii="Times New Roman" w:hAnsi="Times New Roman"/>
          <w:lang w:val="pl-PL"/>
        </w:rPr>
        <w:t>s</w:t>
      </w:r>
      <w:r>
        <w:rPr>
          <w:rFonts w:ascii="Times New Roman" w:hAnsi="Times New Roman"/>
          <w:lang w:val="pl-PL"/>
        </w:rPr>
        <w:t xml:space="preserve">trona może złożyć oświadczenie </w:t>
      </w:r>
      <w:r w:rsidRPr="00540ED5">
        <w:rPr>
          <w:rFonts w:ascii="Times New Roman" w:hAnsi="Times New Roman"/>
          <w:lang w:val="pl-PL"/>
        </w:rPr>
        <w:t xml:space="preserve">o zrzeczeniu się  prawa  do  wniesienia  odwołania. Z dniem doręczenia oświadczenia o zrzeczeniu  się prawa do odwołania przez ostatnią ze stron postępowania, decyzja staje się ostateczna i prawomocna.    </w:t>
      </w:r>
    </w:p>
    <w:p w14:paraId="70219DBB" w14:textId="77777777" w:rsidR="00172A5F" w:rsidRPr="0052066F" w:rsidRDefault="00172A5F" w:rsidP="00172A5F">
      <w:pPr>
        <w:jc w:val="both"/>
        <w:rPr>
          <w:rFonts w:ascii="Times New Roman" w:hAnsi="Times New Roman"/>
          <w:lang w:val="pl-PL"/>
        </w:rPr>
      </w:pPr>
    </w:p>
    <w:p w14:paraId="54AD0B77" w14:textId="6B9A1798" w:rsidR="002F3E91" w:rsidRPr="00CA05FC" w:rsidRDefault="00172A5F" w:rsidP="007D1F87">
      <w:pPr>
        <w:pStyle w:val="Tekstpodstawowy2"/>
        <w:spacing w:after="0" w:line="240" w:lineRule="auto"/>
        <w:jc w:val="both"/>
        <w:rPr>
          <w:rFonts w:ascii="Times New Roman" w:hAnsi="Times New Roman"/>
          <w:color w:val="000000"/>
          <w:w w:val="150"/>
          <w:lang w:val="pl-PL"/>
        </w:rPr>
      </w:pPr>
      <w:r w:rsidRPr="00CA05FC">
        <w:rPr>
          <w:rFonts w:ascii="Times New Roman" w:hAnsi="Times New Roman"/>
          <w:color w:val="000000"/>
          <w:lang w:val="pl-PL"/>
        </w:rPr>
        <w:t xml:space="preserve">Wnioskodawca dokonał w dniu </w:t>
      </w:r>
      <w:r w:rsidR="00786D13" w:rsidRPr="00CA05FC">
        <w:rPr>
          <w:rFonts w:ascii="Times New Roman" w:hAnsi="Times New Roman"/>
          <w:color w:val="000000"/>
          <w:lang w:val="pl-PL"/>
        </w:rPr>
        <w:t>2</w:t>
      </w:r>
      <w:r w:rsidR="00FC04C9" w:rsidRPr="00CA05FC">
        <w:rPr>
          <w:rFonts w:ascii="Times New Roman" w:hAnsi="Times New Roman"/>
          <w:color w:val="000000"/>
          <w:lang w:val="pl-PL"/>
        </w:rPr>
        <w:t>3</w:t>
      </w:r>
      <w:r w:rsidR="00D00D19" w:rsidRPr="00CA05FC">
        <w:rPr>
          <w:rFonts w:ascii="Times New Roman" w:hAnsi="Times New Roman"/>
          <w:color w:val="000000"/>
          <w:lang w:val="pl-PL"/>
        </w:rPr>
        <w:t>.</w:t>
      </w:r>
      <w:r w:rsidR="00786D13" w:rsidRPr="00CA05FC">
        <w:rPr>
          <w:rFonts w:ascii="Times New Roman" w:hAnsi="Times New Roman"/>
          <w:color w:val="000000"/>
          <w:lang w:val="pl-PL"/>
        </w:rPr>
        <w:t>05</w:t>
      </w:r>
      <w:r w:rsidRPr="00CA05FC">
        <w:rPr>
          <w:rFonts w:ascii="Times New Roman" w:hAnsi="Times New Roman"/>
          <w:color w:val="000000"/>
          <w:lang w:val="pl-PL"/>
        </w:rPr>
        <w:t>.</w:t>
      </w:r>
      <w:r w:rsidR="00D00D19" w:rsidRPr="00CA05FC">
        <w:rPr>
          <w:rFonts w:ascii="Times New Roman" w:hAnsi="Times New Roman"/>
          <w:color w:val="000000"/>
          <w:lang w:val="pl-PL"/>
        </w:rPr>
        <w:t>20</w:t>
      </w:r>
      <w:r w:rsidR="00786D13" w:rsidRPr="00CA05FC">
        <w:rPr>
          <w:rFonts w:ascii="Times New Roman" w:hAnsi="Times New Roman"/>
          <w:color w:val="000000"/>
          <w:lang w:val="pl-PL"/>
        </w:rPr>
        <w:t>22</w:t>
      </w:r>
      <w:r w:rsidRPr="00CA05FC">
        <w:rPr>
          <w:rFonts w:ascii="Times New Roman" w:hAnsi="Times New Roman"/>
          <w:color w:val="000000"/>
          <w:lang w:val="pl-PL"/>
        </w:rPr>
        <w:t xml:space="preserve">r. zapłaty opłaty skarbowej za zmianę koncesji na wydobywanie </w:t>
      </w:r>
      <w:r w:rsidR="002F3E91" w:rsidRPr="00CA05FC">
        <w:rPr>
          <w:rFonts w:ascii="Times New Roman" w:hAnsi="Times New Roman"/>
          <w:color w:val="000000"/>
          <w:lang w:val="pl-PL"/>
        </w:rPr>
        <w:t>kopalin</w:t>
      </w:r>
      <w:r w:rsidRPr="00CA05FC">
        <w:rPr>
          <w:rFonts w:ascii="Times New Roman" w:hAnsi="Times New Roman"/>
          <w:color w:val="000000"/>
          <w:lang w:val="pl-PL"/>
        </w:rPr>
        <w:t xml:space="preserve"> ze złoża „</w:t>
      </w:r>
      <w:r w:rsidR="00A70518" w:rsidRPr="00CA05FC">
        <w:rPr>
          <w:rFonts w:ascii="Times New Roman" w:hAnsi="Times New Roman"/>
          <w:color w:val="000000"/>
          <w:lang w:val="pl-PL"/>
        </w:rPr>
        <w:t>Kostomłoty</w:t>
      </w:r>
      <w:r w:rsidRPr="00CA05FC">
        <w:rPr>
          <w:rFonts w:ascii="Times New Roman" w:hAnsi="Times New Roman"/>
          <w:color w:val="000000"/>
          <w:lang w:val="pl-PL"/>
        </w:rPr>
        <w:t xml:space="preserve">”, </w:t>
      </w:r>
      <w:r w:rsidR="002F3E91" w:rsidRPr="00CA05FC">
        <w:rPr>
          <w:rFonts w:ascii="Times New Roman" w:hAnsi="Times New Roman"/>
          <w:color w:val="000000"/>
          <w:lang w:val="pl-PL"/>
        </w:rPr>
        <w:t xml:space="preserve">w </w:t>
      </w:r>
      <w:r w:rsidRPr="00CA05FC">
        <w:rPr>
          <w:rFonts w:ascii="Times New Roman" w:hAnsi="Times New Roman"/>
          <w:color w:val="000000"/>
          <w:lang w:val="pl-PL"/>
        </w:rPr>
        <w:t>kwocie 308,00 zł na rachunek Urzędu Miasta Kielce (nr 38 1050 0099 6450 9000 0000 0000).</w:t>
      </w:r>
    </w:p>
    <w:p w14:paraId="0D9DC0CE" w14:textId="77777777" w:rsidR="00FE343D" w:rsidRPr="00CA05FC" w:rsidRDefault="00FE343D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488B142B" w14:textId="77777777" w:rsidR="00715020" w:rsidRPr="00CA05FC" w:rsidRDefault="00715020" w:rsidP="00715020">
      <w:pPr>
        <w:rPr>
          <w:rFonts w:ascii="Times New Roman" w:hAnsi="Times New Roman"/>
          <w:color w:val="000000"/>
          <w:sz w:val="20"/>
          <w:szCs w:val="20"/>
          <w:u w:val="single"/>
        </w:rPr>
      </w:pPr>
      <w:r w:rsidRPr="00CA05FC">
        <w:rPr>
          <w:rFonts w:ascii="Times New Roman" w:hAnsi="Times New Roman"/>
          <w:color w:val="000000"/>
          <w:sz w:val="20"/>
          <w:szCs w:val="20"/>
          <w:u w:val="single"/>
        </w:rPr>
        <w:t>Otrzymują (z.p.o.):</w:t>
      </w:r>
    </w:p>
    <w:p w14:paraId="1A919ED3" w14:textId="1E075920" w:rsidR="00715020" w:rsidRPr="00CA05FC" w:rsidRDefault="00B17219" w:rsidP="00715020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Kopalnia Kostomłoty Sp. z o.o.</w:t>
      </w:r>
    </w:p>
    <w:p w14:paraId="5F86B907" w14:textId="40CBC6A8" w:rsidR="00715020" w:rsidRPr="00CA05FC" w:rsidRDefault="00B17219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Kostomłoty Drugie</w:t>
      </w:r>
    </w:p>
    <w:p w14:paraId="6490F372" w14:textId="51E11A46" w:rsidR="00B17219" w:rsidRPr="00CA05FC" w:rsidRDefault="00415064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u</w:t>
      </w:r>
      <w:r w:rsidR="00B17219" w:rsidRPr="00CA05FC">
        <w:rPr>
          <w:rFonts w:ascii="Times New Roman" w:hAnsi="Times New Roman" w:cs="Times New Roman"/>
          <w:lang w:val="pl-PL"/>
        </w:rPr>
        <w:t>l. Bugajska 89</w:t>
      </w:r>
    </w:p>
    <w:p w14:paraId="4E751A1C" w14:textId="77969D60" w:rsidR="00715020" w:rsidRPr="00CA05FC" w:rsidRDefault="002F3E91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2</w:t>
      </w:r>
      <w:r w:rsidR="00B17219" w:rsidRPr="00CA05FC">
        <w:rPr>
          <w:rFonts w:ascii="Times New Roman" w:hAnsi="Times New Roman" w:cs="Times New Roman"/>
          <w:lang w:val="pl-PL"/>
        </w:rPr>
        <w:t>6</w:t>
      </w:r>
      <w:r w:rsidRPr="00CA05FC">
        <w:rPr>
          <w:rFonts w:ascii="Times New Roman" w:hAnsi="Times New Roman" w:cs="Times New Roman"/>
          <w:lang w:val="pl-PL"/>
        </w:rPr>
        <w:t>-</w:t>
      </w:r>
      <w:r w:rsidR="00B17219" w:rsidRPr="00CA05FC">
        <w:rPr>
          <w:rFonts w:ascii="Times New Roman" w:hAnsi="Times New Roman" w:cs="Times New Roman"/>
          <w:lang w:val="pl-PL"/>
        </w:rPr>
        <w:t>085</w:t>
      </w:r>
      <w:r w:rsidRPr="00CA05FC">
        <w:rPr>
          <w:rFonts w:ascii="Times New Roman" w:hAnsi="Times New Roman" w:cs="Times New Roman"/>
          <w:lang w:val="pl-PL"/>
        </w:rPr>
        <w:t xml:space="preserve"> </w:t>
      </w:r>
      <w:r w:rsidR="00B17219" w:rsidRPr="00CA05FC">
        <w:rPr>
          <w:rFonts w:ascii="Times New Roman" w:hAnsi="Times New Roman" w:cs="Times New Roman"/>
          <w:lang w:val="pl-PL"/>
        </w:rPr>
        <w:t>Miedziana Góra</w:t>
      </w:r>
    </w:p>
    <w:p w14:paraId="7D777278" w14:textId="77777777" w:rsidR="00883989" w:rsidRPr="00CA05FC" w:rsidRDefault="00883989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/+ 1 egz. PZZ/</w:t>
      </w:r>
    </w:p>
    <w:p w14:paraId="6A6F5EAD" w14:textId="77777777" w:rsidR="00286A5C" w:rsidRPr="00CA05FC" w:rsidRDefault="00286A5C" w:rsidP="00286A5C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  <w:lang w:val="pl-PL" w:eastAsia="pl-PL"/>
        </w:rPr>
      </w:pPr>
      <w:bookmarkStart w:id="13" w:name="_Hlk92267589"/>
      <w:r w:rsidRPr="00CA05FC">
        <w:rPr>
          <w:rFonts w:ascii="Times New Roman" w:hAnsi="Times New Roman"/>
          <w:sz w:val="20"/>
          <w:szCs w:val="20"/>
          <w:lang w:val="pl-PL" w:eastAsia="pl-PL"/>
        </w:rPr>
        <w:t>Pozostałe strony postępowania w formie obwieszczenia</w:t>
      </w:r>
    </w:p>
    <w:bookmarkEnd w:id="13"/>
    <w:p w14:paraId="4D900111" w14:textId="77777777" w:rsidR="00715020" w:rsidRPr="00CA05FC" w:rsidRDefault="00715020" w:rsidP="00715020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bCs/>
          <w:lang w:val="pl-PL"/>
        </w:rPr>
        <w:t xml:space="preserve">a/a </w:t>
      </w:r>
    </w:p>
    <w:p w14:paraId="2FB3D553" w14:textId="77777777" w:rsidR="00715020" w:rsidRPr="00CA05FC" w:rsidRDefault="00715020" w:rsidP="00D461AE">
      <w:pPr>
        <w:rPr>
          <w:rFonts w:ascii="Times New Roman" w:hAnsi="Times New Roman"/>
          <w:sz w:val="20"/>
          <w:szCs w:val="20"/>
          <w:u w:val="single"/>
          <w:lang w:val="pl-PL"/>
        </w:rPr>
      </w:pPr>
    </w:p>
    <w:p w14:paraId="210B9231" w14:textId="77777777" w:rsidR="00D461AE" w:rsidRPr="00CA05FC" w:rsidRDefault="00D461AE" w:rsidP="00D461AE">
      <w:pPr>
        <w:rPr>
          <w:rFonts w:ascii="Times New Roman" w:hAnsi="Times New Roman"/>
          <w:sz w:val="20"/>
          <w:szCs w:val="20"/>
          <w:u w:val="single"/>
          <w:lang w:val="pl-PL"/>
        </w:rPr>
      </w:pPr>
      <w:r w:rsidRPr="00CA05FC">
        <w:rPr>
          <w:rFonts w:ascii="Times New Roman" w:hAnsi="Times New Roman"/>
          <w:sz w:val="20"/>
          <w:szCs w:val="20"/>
          <w:u w:val="single"/>
          <w:lang w:val="pl-PL"/>
        </w:rPr>
        <w:t>Do wiadomości</w:t>
      </w:r>
      <w:r w:rsidR="00000E84" w:rsidRPr="00CA05FC">
        <w:rPr>
          <w:rFonts w:ascii="Times New Roman" w:hAnsi="Times New Roman"/>
          <w:sz w:val="20"/>
          <w:szCs w:val="20"/>
          <w:u w:val="single"/>
          <w:lang w:val="pl-PL"/>
        </w:rPr>
        <w:t xml:space="preserve"> (ePUAP)</w:t>
      </w:r>
      <w:r w:rsidRPr="00CA05FC">
        <w:rPr>
          <w:rFonts w:ascii="Times New Roman" w:hAnsi="Times New Roman"/>
          <w:sz w:val="20"/>
          <w:szCs w:val="20"/>
          <w:u w:val="single"/>
          <w:lang w:val="pl-PL"/>
        </w:rPr>
        <w:t>:</w:t>
      </w:r>
    </w:p>
    <w:p w14:paraId="53F42EC0" w14:textId="3B07CDD5" w:rsidR="00FD58A1" w:rsidRPr="00CA05FC" w:rsidRDefault="00D30120" w:rsidP="00FD58A1">
      <w:pPr>
        <w:pStyle w:val="Zwykytekst"/>
        <w:numPr>
          <w:ilvl w:val="0"/>
          <w:numId w:val="18"/>
        </w:numPr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Wójt</w:t>
      </w:r>
      <w:r w:rsidR="00715020" w:rsidRPr="00CA05FC">
        <w:rPr>
          <w:rFonts w:ascii="Times New Roman" w:hAnsi="Times New Roman" w:cs="Times New Roman"/>
          <w:lang w:val="pl-PL"/>
        </w:rPr>
        <w:t xml:space="preserve"> Gminy</w:t>
      </w:r>
      <w:r w:rsidR="00FD58A1" w:rsidRPr="00CA05FC">
        <w:rPr>
          <w:rFonts w:ascii="Times New Roman" w:hAnsi="Times New Roman" w:cs="Times New Roman"/>
          <w:lang w:val="pl-PL"/>
        </w:rPr>
        <w:t xml:space="preserve"> </w:t>
      </w:r>
      <w:r w:rsidR="00B17219" w:rsidRPr="00CA05FC">
        <w:rPr>
          <w:rFonts w:ascii="Times New Roman" w:hAnsi="Times New Roman" w:cs="Times New Roman"/>
          <w:lang w:val="pl-PL"/>
        </w:rPr>
        <w:t>Miedziana Góra</w:t>
      </w:r>
    </w:p>
    <w:p w14:paraId="59B26A7E" w14:textId="17BDFC5C" w:rsidR="00FD58A1" w:rsidRPr="00CA05FC" w:rsidRDefault="00FD58A1" w:rsidP="00FD58A1">
      <w:pPr>
        <w:pStyle w:val="Zwykytekst"/>
        <w:ind w:left="397"/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 xml:space="preserve">ul. </w:t>
      </w:r>
      <w:r w:rsidR="00B17219" w:rsidRPr="00CA05FC">
        <w:rPr>
          <w:rFonts w:ascii="Times New Roman" w:hAnsi="Times New Roman" w:cs="Times New Roman"/>
          <w:lang w:val="pl-PL"/>
        </w:rPr>
        <w:t>Urzędnicza</w:t>
      </w:r>
      <w:r w:rsidR="00CF11E6" w:rsidRPr="00CA05FC">
        <w:rPr>
          <w:rFonts w:ascii="Times New Roman" w:hAnsi="Times New Roman" w:cs="Times New Roman"/>
          <w:lang w:val="pl-PL"/>
        </w:rPr>
        <w:t xml:space="preserve"> </w:t>
      </w:r>
      <w:r w:rsidR="00B17219" w:rsidRPr="00CA05FC">
        <w:rPr>
          <w:rFonts w:ascii="Times New Roman" w:hAnsi="Times New Roman" w:cs="Times New Roman"/>
          <w:lang w:val="pl-PL"/>
        </w:rPr>
        <w:t>18</w:t>
      </w:r>
    </w:p>
    <w:p w14:paraId="2CAC4F72" w14:textId="5B23CA00" w:rsidR="00FD58A1" w:rsidRPr="00CA05FC" w:rsidRDefault="00CF11E6" w:rsidP="00FD58A1">
      <w:pPr>
        <w:pStyle w:val="Zwykytekst"/>
        <w:ind w:left="397"/>
        <w:rPr>
          <w:rFonts w:ascii="Times New Roman" w:hAnsi="Times New Roman" w:cs="Times New Roman"/>
          <w:lang w:val="pl-PL"/>
        </w:rPr>
      </w:pPr>
      <w:r w:rsidRPr="00CA05FC">
        <w:rPr>
          <w:rFonts w:ascii="Times New Roman" w:hAnsi="Times New Roman" w:cs="Times New Roman"/>
          <w:lang w:val="pl-PL"/>
        </w:rPr>
        <w:t>2</w:t>
      </w:r>
      <w:r w:rsidR="00B17219" w:rsidRPr="00CA05FC">
        <w:rPr>
          <w:rFonts w:ascii="Times New Roman" w:hAnsi="Times New Roman" w:cs="Times New Roman"/>
          <w:lang w:val="pl-PL"/>
        </w:rPr>
        <w:t>6-085 Miedziana Góra</w:t>
      </w:r>
    </w:p>
    <w:p w14:paraId="6970A2ED" w14:textId="77777777" w:rsidR="00BA2001" w:rsidRPr="00CA05FC" w:rsidRDefault="00BA2001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Starosta Kielecki</w:t>
      </w:r>
    </w:p>
    <w:p w14:paraId="21274820" w14:textId="77777777" w:rsidR="00BA2001" w:rsidRPr="00CA05FC" w:rsidRDefault="00BA2001" w:rsidP="00BA200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7B06A7EC" w14:textId="77777777" w:rsidR="00BA2001" w:rsidRPr="00CA05FC" w:rsidRDefault="00BA2001" w:rsidP="00BA200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496500B2" w14:textId="77777777" w:rsidR="00D461AE" w:rsidRPr="00CA05FC" w:rsidRDefault="00D461AE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42D87F29" w14:textId="77777777" w:rsidR="00D461AE" w:rsidRPr="00CA05FC" w:rsidRDefault="00FD58A1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06932136" w14:textId="77777777" w:rsidR="00D461AE" w:rsidRPr="00CA05FC" w:rsidRDefault="00FD58A1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556DDBDF" w14:textId="77777777" w:rsidR="00FD58A1" w:rsidRPr="00CA05FC" w:rsidRDefault="00FD58A1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7298F03F" w14:textId="77777777" w:rsidR="00FD58A1" w:rsidRPr="00CA05FC" w:rsidRDefault="0044716D" w:rsidP="00FD58A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ul. Poniatowskiego 31</w:t>
      </w:r>
    </w:p>
    <w:p w14:paraId="704592DA" w14:textId="77777777" w:rsidR="0044716D" w:rsidRPr="00CA05FC" w:rsidRDefault="0044716D" w:rsidP="00FD58A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381F99AD" w14:textId="77777777" w:rsidR="00D461AE" w:rsidRPr="00CA05FC" w:rsidRDefault="00D461AE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 xml:space="preserve">Minister </w:t>
      </w:r>
      <w:r w:rsidR="00000E84" w:rsidRPr="00CA05FC">
        <w:rPr>
          <w:rFonts w:ascii="Times New Roman" w:hAnsi="Times New Roman"/>
          <w:sz w:val="20"/>
          <w:szCs w:val="20"/>
          <w:lang w:val="pl-PL"/>
        </w:rPr>
        <w:t>Klimatu</w:t>
      </w:r>
      <w:r w:rsidR="0081015E" w:rsidRPr="00CA05FC">
        <w:rPr>
          <w:rFonts w:ascii="Times New Roman" w:hAnsi="Times New Roman"/>
          <w:sz w:val="20"/>
          <w:szCs w:val="20"/>
          <w:lang w:val="pl-PL"/>
        </w:rPr>
        <w:t xml:space="preserve"> i Środowiska</w:t>
      </w:r>
    </w:p>
    <w:p w14:paraId="2F574BA7" w14:textId="77777777" w:rsidR="00D461AE" w:rsidRPr="00CA05FC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Departament Geologii i Koncesji Geologicznych</w:t>
      </w:r>
    </w:p>
    <w:p w14:paraId="42FE1C49" w14:textId="77777777" w:rsidR="00D461AE" w:rsidRPr="00CA05FC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ul. Wawelska 52/54</w:t>
      </w:r>
    </w:p>
    <w:p w14:paraId="298FF576" w14:textId="77777777" w:rsidR="00D461AE" w:rsidRPr="00CA05FC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00-922 Warszawa</w:t>
      </w:r>
    </w:p>
    <w:p w14:paraId="12C87AA6" w14:textId="77777777" w:rsidR="00D461AE" w:rsidRPr="00CA05FC" w:rsidRDefault="00D461AE" w:rsidP="0044716D">
      <w:pPr>
        <w:numPr>
          <w:ilvl w:val="0"/>
          <w:numId w:val="18"/>
        </w:numPr>
        <w:rPr>
          <w:rFonts w:ascii="Times New Roman" w:hAnsi="Times New Roman"/>
          <w:sz w:val="20"/>
          <w:szCs w:val="20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Państwowy Instytut Geologi</w:t>
      </w:r>
      <w:r w:rsidRPr="00CA05FC">
        <w:rPr>
          <w:rFonts w:ascii="Times New Roman" w:hAnsi="Times New Roman"/>
          <w:sz w:val="20"/>
          <w:szCs w:val="20"/>
        </w:rPr>
        <w:t>czny</w:t>
      </w:r>
    </w:p>
    <w:p w14:paraId="3015F06C" w14:textId="77777777" w:rsidR="00D461AE" w:rsidRPr="00CA05FC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r w:rsidRPr="00CA05FC">
        <w:rPr>
          <w:rFonts w:ascii="Times New Roman" w:hAnsi="Times New Roman"/>
          <w:sz w:val="20"/>
          <w:szCs w:val="20"/>
        </w:rPr>
        <w:t>Rejestr Obszarów Górniczych</w:t>
      </w:r>
    </w:p>
    <w:p w14:paraId="54B528F6" w14:textId="77777777" w:rsidR="00D461AE" w:rsidRPr="00CA05FC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r w:rsidRPr="00CA05FC">
        <w:rPr>
          <w:rFonts w:ascii="Times New Roman" w:hAnsi="Times New Roman"/>
          <w:sz w:val="20"/>
          <w:szCs w:val="20"/>
        </w:rPr>
        <w:t>ul. Rakowiecka 4</w:t>
      </w:r>
    </w:p>
    <w:p w14:paraId="44F15B61" w14:textId="77777777" w:rsidR="00D461AE" w:rsidRPr="00CA05FC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r w:rsidRPr="00CA05FC">
        <w:rPr>
          <w:rFonts w:ascii="Times New Roman" w:hAnsi="Times New Roman"/>
          <w:sz w:val="20"/>
          <w:szCs w:val="20"/>
        </w:rPr>
        <w:t>00-975 Warszawa</w:t>
      </w:r>
    </w:p>
    <w:p w14:paraId="7A4B754C" w14:textId="77777777" w:rsidR="00D461AE" w:rsidRPr="00CA05FC" w:rsidRDefault="0044716D" w:rsidP="0044716D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>NFOŚiGW</w:t>
      </w:r>
    </w:p>
    <w:p w14:paraId="3BDFD561" w14:textId="77777777" w:rsidR="00D461AE" w:rsidRPr="00CA05FC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CA05FC">
        <w:rPr>
          <w:rFonts w:ascii="Times New Roman" w:hAnsi="Times New Roman"/>
          <w:sz w:val="20"/>
          <w:szCs w:val="20"/>
          <w:lang w:val="pl-PL"/>
        </w:rPr>
        <w:t xml:space="preserve">Wydział Opłat </w:t>
      </w:r>
      <w:r w:rsidR="00CF11E6" w:rsidRPr="00CA05FC">
        <w:rPr>
          <w:rFonts w:ascii="Times New Roman" w:hAnsi="Times New Roman"/>
          <w:sz w:val="20"/>
          <w:szCs w:val="20"/>
          <w:lang w:val="pl-PL"/>
        </w:rPr>
        <w:t>i</w:t>
      </w:r>
      <w:r w:rsidR="0044716D" w:rsidRPr="00CA05FC">
        <w:rPr>
          <w:rFonts w:ascii="Times New Roman" w:hAnsi="Times New Roman"/>
          <w:sz w:val="20"/>
          <w:szCs w:val="20"/>
          <w:lang w:val="pl-PL"/>
        </w:rPr>
        <w:t xml:space="preserve"> Pozostałych Przychodów</w:t>
      </w:r>
    </w:p>
    <w:p w14:paraId="1509ABF4" w14:textId="77777777" w:rsidR="00D461AE" w:rsidRPr="00CA05FC" w:rsidRDefault="00D461AE" w:rsidP="00D461AE">
      <w:pPr>
        <w:ind w:firstLine="360"/>
        <w:rPr>
          <w:rFonts w:ascii="Times New Roman" w:hAnsi="Times New Roman"/>
          <w:sz w:val="20"/>
          <w:szCs w:val="20"/>
        </w:rPr>
      </w:pPr>
      <w:r w:rsidRPr="00CA05FC">
        <w:rPr>
          <w:rFonts w:ascii="Times New Roman" w:hAnsi="Times New Roman"/>
          <w:sz w:val="20"/>
          <w:szCs w:val="20"/>
        </w:rPr>
        <w:t>ul. Konstruktorska 3A</w:t>
      </w:r>
    </w:p>
    <w:p w14:paraId="2F166E95" w14:textId="77777777" w:rsidR="006C600F" w:rsidRPr="00CA05FC" w:rsidRDefault="00D461AE" w:rsidP="00A54EC6">
      <w:pPr>
        <w:ind w:firstLine="360"/>
        <w:rPr>
          <w:rFonts w:ascii="Times New Roman" w:hAnsi="Times New Roman"/>
          <w:sz w:val="20"/>
          <w:szCs w:val="20"/>
        </w:rPr>
      </w:pPr>
      <w:r w:rsidRPr="00CA05FC">
        <w:rPr>
          <w:rFonts w:ascii="Times New Roman" w:hAnsi="Times New Roman"/>
          <w:sz w:val="20"/>
          <w:szCs w:val="20"/>
        </w:rPr>
        <w:t>02-673 Warszawa</w:t>
      </w:r>
    </w:p>
    <w:sectPr w:rsidR="006C600F" w:rsidRPr="00CA05FC" w:rsidSect="002D5C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9E86" w14:textId="77777777" w:rsidR="00E12397" w:rsidRDefault="00E12397" w:rsidP="0038534B">
      <w:r>
        <w:separator/>
      </w:r>
    </w:p>
  </w:endnote>
  <w:endnote w:type="continuationSeparator" w:id="0">
    <w:p w14:paraId="56EEBF46" w14:textId="77777777" w:rsidR="00E12397" w:rsidRDefault="00E1239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316F" w14:textId="77777777" w:rsidR="00094E12" w:rsidRDefault="00A942B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77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7DCA" w14:textId="0D2E0E0F" w:rsidR="00D20445" w:rsidRDefault="001B2732" w:rsidP="00D20445">
    <w:pPr>
      <w:pStyle w:val="Stopka"/>
      <w:ind w:right="-2"/>
      <w:jc w:val="right"/>
    </w:pPr>
    <w:r>
      <w:rPr>
        <w:noProof/>
      </w:rPr>
      <w:drawing>
        <wp:inline distT="0" distB="0" distL="0" distR="0" wp14:anchorId="52C8B665" wp14:editId="240FCCBC">
          <wp:extent cx="118110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DF44" w14:textId="77777777" w:rsidR="00E12397" w:rsidRDefault="00E12397" w:rsidP="0038534B">
      <w:r>
        <w:separator/>
      </w:r>
    </w:p>
  </w:footnote>
  <w:footnote w:type="continuationSeparator" w:id="0">
    <w:p w14:paraId="1AEE6D99" w14:textId="77777777" w:rsidR="00E12397" w:rsidRDefault="00E1239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9EEF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D41FE7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14AE07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5321" w14:textId="3DDF388E" w:rsidR="00D20445" w:rsidRDefault="001B27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73E137" wp14:editId="2038CB62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12897">
    <w:abstractNumId w:val="1"/>
  </w:num>
  <w:num w:numId="2" w16cid:durableId="1179344856">
    <w:abstractNumId w:val="5"/>
  </w:num>
  <w:num w:numId="3" w16cid:durableId="561795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313548">
    <w:abstractNumId w:val="9"/>
  </w:num>
  <w:num w:numId="5" w16cid:durableId="1480802196">
    <w:abstractNumId w:val="22"/>
  </w:num>
  <w:num w:numId="6" w16cid:durableId="1273518125">
    <w:abstractNumId w:val="7"/>
  </w:num>
  <w:num w:numId="7" w16cid:durableId="1902211075">
    <w:abstractNumId w:val="15"/>
  </w:num>
  <w:num w:numId="8" w16cid:durableId="2131506685">
    <w:abstractNumId w:val="2"/>
  </w:num>
  <w:num w:numId="9" w16cid:durableId="1665619476">
    <w:abstractNumId w:val="23"/>
  </w:num>
  <w:num w:numId="10" w16cid:durableId="2007897571">
    <w:abstractNumId w:val="20"/>
  </w:num>
  <w:num w:numId="11" w16cid:durableId="1461192312">
    <w:abstractNumId w:val="19"/>
  </w:num>
  <w:num w:numId="12" w16cid:durableId="1379431906">
    <w:abstractNumId w:val="13"/>
  </w:num>
  <w:num w:numId="13" w16cid:durableId="563175500">
    <w:abstractNumId w:val="14"/>
  </w:num>
  <w:num w:numId="14" w16cid:durableId="540945925">
    <w:abstractNumId w:val="18"/>
  </w:num>
  <w:num w:numId="15" w16cid:durableId="1044135954">
    <w:abstractNumId w:val="3"/>
  </w:num>
  <w:num w:numId="16" w16cid:durableId="1053964370">
    <w:abstractNumId w:val="8"/>
  </w:num>
  <w:num w:numId="17" w16cid:durableId="1744644996">
    <w:abstractNumId w:val="4"/>
  </w:num>
  <w:num w:numId="18" w16cid:durableId="654069774">
    <w:abstractNumId w:val="16"/>
  </w:num>
  <w:num w:numId="19" w16cid:durableId="1879926064">
    <w:abstractNumId w:val="12"/>
  </w:num>
  <w:num w:numId="20" w16cid:durableId="649789649">
    <w:abstractNumId w:val="0"/>
  </w:num>
  <w:num w:numId="21" w16cid:durableId="1990473764">
    <w:abstractNumId w:val="21"/>
  </w:num>
  <w:num w:numId="22" w16cid:durableId="1988702925">
    <w:abstractNumId w:val="17"/>
  </w:num>
  <w:num w:numId="23" w16cid:durableId="580456713">
    <w:abstractNumId w:val="10"/>
  </w:num>
  <w:num w:numId="24" w16cid:durableId="947465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0E84"/>
    <w:rsid w:val="00007A1D"/>
    <w:rsid w:val="000231E9"/>
    <w:rsid w:val="00035890"/>
    <w:rsid w:val="000478ED"/>
    <w:rsid w:val="00050D0B"/>
    <w:rsid w:val="0005445A"/>
    <w:rsid w:val="0005669C"/>
    <w:rsid w:val="0005692E"/>
    <w:rsid w:val="00061FD2"/>
    <w:rsid w:val="00064437"/>
    <w:rsid w:val="00071FCB"/>
    <w:rsid w:val="00072C9A"/>
    <w:rsid w:val="000765C8"/>
    <w:rsid w:val="00083C64"/>
    <w:rsid w:val="00084E37"/>
    <w:rsid w:val="0008575B"/>
    <w:rsid w:val="00093922"/>
    <w:rsid w:val="00094E12"/>
    <w:rsid w:val="00095D39"/>
    <w:rsid w:val="0009613C"/>
    <w:rsid w:val="000A070D"/>
    <w:rsid w:val="000B062C"/>
    <w:rsid w:val="000B21BB"/>
    <w:rsid w:val="000C755C"/>
    <w:rsid w:val="000E22B3"/>
    <w:rsid w:val="000E3E80"/>
    <w:rsid w:val="00104F27"/>
    <w:rsid w:val="00106806"/>
    <w:rsid w:val="00107753"/>
    <w:rsid w:val="00114038"/>
    <w:rsid w:val="0011695C"/>
    <w:rsid w:val="00117877"/>
    <w:rsid w:val="00122F28"/>
    <w:rsid w:val="0012337A"/>
    <w:rsid w:val="00126922"/>
    <w:rsid w:val="00131A77"/>
    <w:rsid w:val="00143DDB"/>
    <w:rsid w:val="0014769A"/>
    <w:rsid w:val="00151F41"/>
    <w:rsid w:val="00172A5F"/>
    <w:rsid w:val="00175A1A"/>
    <w:rsid w:val="00192AFA"/>
    <w:rsid w:val="001948AA"/>
    <w:rsid w:val="001A1B2E"/>
    <w:rsid w:val="001B2732"/>
    <w:rsid w:val="001B615A"/>
    <w:rsid w:val="001B6CDA"/>
    <w:rsid w:val="001C58EC"/>
    <w:rsid w:val="001E158D"/>
    <w:rsid w:val="001E2BD2"/>
    <w:rsid w:val="001E62FE"/>
    <w:rsid w:val="001F3FE4"/>
    <w:rsid w:val="00202CCF"/>
    <w:rsid w:val="00202F3E"/>
    <w:rsid w:val="00204541"/>
    <w:rsid w:val="00206400"/>
    <w:rsid w:val="00210528"/>
    <w:rsid w:val="002147D8"/>
    <w:rsid w:val="00225C6C"/>
    <w:rsid w:val="00225E9C"/>
    <w:rsid w:val="00226A18"/>
    <w:rsid w:val="00231394"/>
    <w:rsid w:val="00233BAE"/>
    <w:rsid w:val="00233C9E"/>
    <w:rsid w:val="00236D8A"/>
    <w:rsid w:val="00236E3E"/>
    <w:rsid w:val="00244091"/>
    <w:rsid w:val="00244844"/>
    <w:rsid w:val="002618EB"/>
    <w:rsid w:val="0028624F"/>
    <w:rsid w:val="00286A5C"/>
    <w:rsid w:val="00290D62"/>
    <w:rsid w:val="002943EA"/>
    <w:rsid w:val="00294464"/>
    <w:rsid w:val="00295978"/>
    <w:rsid w:val="002B1105"/>
    <w:rsid w:val="002B11C4"/>
    <w:rsid w:val="002C6F49"/>
    <w:rsid w:val="002D019A"/>
    <w:rsid w:val="002D5C81"/>
    <w:rsid w:val="002F1AE0"/>
    <w:rsid w:val="002F3E91"/>
    <w:rsid w:val="00312EF2"/>
    <w:rsid w:val="003134A2"/>
    <w:rsid w:val="00314E03"/>
    <w:rsid w:val="00317F6D"/>
    <w:rsid w:val="003329C7"/>
    <w:rsid w:val="00333A60"/>
    <w:rsid w:val="00335481"/>
    <w:rsid w:val="00344841"/>
    <w:rsid w:val="00350B8B"/>
    <w:rsid w:val="0036314C"/>
    <w:rsid w:val="00363D50"/>
    <w:rsid w:val="00370150"/>
    <w:rsid w:val="0037529C"/>
    <w:rsid w:val="00375303"/>
    <w:rsid w:val="00380346"/>
    <w:rsid w:val="00381B28"/>
    <w:rsid w:val="0038534B"/>
    <w:rsid w:val="00385EBC"/>
    <w:rsid w:val="003A4CD9"/>
    <w:rsid w:val="003A4EF3"/>
    <w:rsid w:val="003B4879"/>
    <w:rsid w:val="003B7B57"/>
    <w:rsid w:val="003C3D2F"/>
    <w:rsid w:val="003C6E60"/>
    <w:rsid w:val="003E0452"/>
    <w:rsid w:val="003E10BB"/>
    <w:rsid w:val="003E491E"/>
    <w:rsid w:val="003E495F"/>
    <w:rsid w:val="003E522D"/>
    <w:rsid w:val="003E798A"/>
    <w:rsid w:val="003F452E"/>
    <w:rsid w:val="003F461E"/>
    <w:rsid w:val="003F4D99"/>
    <w:rsid w:val="00410686"/>
    <w:rsid w:val="0041181F"/>
    <w:rsid w:val="004138B2"/>
    <w:rsid w:val="00415064"/>
    <w:rsid w:val="00417F9A"/>
    <w:rsid w:val="00424533"/>
    <w:rsid w:val="00425FCA"/>
    <w:rsid w:val="00434329"/>
    <w:rsid w:val="00434758"/>
    <w:rsid w:val="00441522"/>
    <w:rsid w:val="004433F6"/>
    <w:rsid w:val="0044716D"/>
    <w:rsid w:val="00464AA9"/>
    <w:rsid w:val="004775A2"/>
    <w:rsid w:val="00480144"/>
    <w:rsid w:val="004972B2"/>
    <w:rsid w:val="00497431"/>
    <w:rsid w:val="004B0B2D"/>
    <w:rsid w:val="004B1395"/>
    <w:rsid w:val="004B1883"/>
    <w:rsid w:val="004B3C10"/>
    <w:rsid w:val="004C062C"/>
    <w:rsid w:val="004C2A1F"/>
    <w:rsid w:val="004C551E"/>
    <w:rsid w:val="004C61AD"/>
    <w:rsid w:val="004C773C"/>
    <w:rsid w:val="004D16E9"/>
    <w:rsid w:val="004D6CD9"/>
    <w:rsid w:val="004E08D4"/>
    <w:rsid w:val="004E1A9B"/>
    <w:rsid w:val="004F27AC"/>
    <w:rsid w:val="004F5050"/>
    <w:rsid w:val="00504501"/>
    <w:rsid w:val="005114E1"/>
    <w:rsid w:val="00516489"/>
    <w:rsid w:val="005270B3"/>
    <w:rsid w:val="00530002"/>
    <w:rsid w:val="005346CD"/>
    <w:rsid w:val="00540ED5"/>
    <w:rsid w:val="005541E8"/>
    <w:rsid w:val="005569CA"/>
    <w:rsid w:val="005657E4"/>
    <w:rsid w:val="00571C62"/>
    <w:rsid w:val="0058606E"/>
    <w:rsid w:val="0059713F"/>
    <w:rsid w:val="005A2099"/>
    <w:rsid w:val="005B181E"/>
    <w:rsid w:val="005B7575"/>
    <w:rsid w:val="005C0571"/>
    <w:rsid w:val="005C17A3"/>
    <w:rsid w:val="005C2CC0"/>
    <w:rsid w:val="005D14F3"/>
    <w:rsid w:val="005E1BAB"/>
    <w:rsid w:val="005E20A1"/>
    <w:rsid w:val="005E2B05"/>
    <w:rsid w:val="005F16A9"/>
    <w:rsid w:val="005F2190"/>
    <w:rsid w:val="005F3018"/>
    <w:rsid w:val="005F79C5"/>
    <w:rsid w:val="0060552B"/>
    <w:rsid w:val="00613C8F"/>
    <w:rsid w:val="00617CD9"/>
    <w:rsid w:val="00635177"/>
    <w:rsid w:val="0063676A"/>
    <w:rsid w:val="00636852"/>
    <w:rsid w:val="006401CC"/>
    <w:rsid w:val="00640443"/>
    <w:rsid w:val="0064240D"/>
    <w:rsid w:val="00643454"/>
    <w:rsid w:val="0064735B"/>
    <w:rsid w:val="00647E4A"/>
    <w:rsid w:val="00650FD9"/>
    <w:rsid w:val="00652805"/>
    <w:rsid w:val="006541D4"/>
    <w:rsid w:val="0065500D"/>
    <w:rsid w:val="0065650A"/>
    <w:rsid w:val="00656556"/>
    <w:rsid w:val="00663A4C"/>
    <w:rsid w:val="00665A00"/>
    <w:rsid w:val="00673876"/>
    <w:rsid w:val="00677ACC"/>
    <w:rsid w:val="00683DD7"/>
    <w:rsid w:val="00690DB2"/>
    <w:rsid w:val="00691469"/>
    <w:rsid w:val="006B7200"/>
    <w:rsid w:val="006C03CB"/>
    <w:rsid w:val="006C055C"/>
    <w:rsid w:val="006C3EDD"/>
    <w:rsid w:val="006C600F"/>
    <w:rsid w:val="006C6010"/>
    <w:rsid w:val="006C73AE"/>
    <w:rsid w:val="006D3CB0"/>
    <w:rsid w:val="006E0487"/>
    <w:rsid w:val="006E16E8"/>
    <w:rsid w:val="006E4978"/>
    <w:rsid w:val="006E4A91"/>
    <w:rsid w:val="006F22BD"/>
    <w:rsid w:val="006F4423"/>
    <w:rsid w:val="006F6B06"/>
    <w:rsid w:val="006F72C6"/>
    <w:rsid w:val="00705443"/>
    <w:rsid w:val="0070600E"/>
    <w:rsid w:val="00710D7F"/>
    <w:rsid w:val="00710E38"/>
    <w:rsid w:val="007135EF"/>
    <w:rsid w:val="0071365E"/>
    <w:rsid w:val="00715020"/>
    <w:rsid w:val="00721DDA"/>
    <w:rsid w:val="00723960"/>
    <w:rsid w:val="00724CA2"/>
    <w:rsid w:val="00732AE9"/>
    <w:rsid w:val="007407BB"/>
    <w:rsid w:val="00743DAC"/>
    <w:rsid w:val="00746294"/>
    <w:rsid w:val="0075065E"/>
    <w:rsid w:val="00751107"/>
    <w:rsid w:val="00754048"/>
    <w:rsid w:val="007626E3"/>
    <w:rsid w:val="0076745C"/>
    <w:rsid w:val="00772990"/>
    <w:rsid w:val="00773F78"/>
    <w:rsid w:val="00774289"/>
    <w:rsid w:val="00786D13"/>
    <w:rsid w:val="007914EE"/>
    <w:rsid w:val="007B009F"/>
    <w:rsid w:val="007B0C8C"/>
    <w:rsid w:val="007C27AA"/>
    <w:rsid w:val="007C60A8"/>
    <w:rsid w:val="007D008A"/>
    <w:rsid w:val="007D1F87"/>
    <w:rsid w:val="007D4D39"/>
    <w:rsid w:val="007E0892"/>
    <w:rsid w:val="007E7834"/>
    <w:rsid w:val="00801EB7"/>
    <w:rsid w:val="00805FA2"/>
    <w:rsid w:val="0081015E"/>
    <w:rsid w:val="008218F9"/>
    <w:rsid w:val="00826CE4"/>
    <w:rsid w:val="00833178"/>
    <w:rsid w:val="008419DC"/>
    <w:rsid w:val="0085048D"/>
    <w:rsid w:val="00854AB7"/>
    <w:rsid w:val="0087271A"/>
    <w:rsid w:val="0087295E"/>
    <w:rsid w:val="00873C59"/>
    <w:rsid w:val="00874955"/>
    <w:rsid w:val="00882F16"/>
    <w:rsid w:val="00883989"/>
    <w:rsid w:val="008A24CD"/>
    <w:rsid w:val="008B534A"/>
    <w:rsid w:val="008B62BB"/>
    <w:rsid w:val="008B6D9C"/>
    <w:rsid w:val="008C667C"/>
    <w:rsid w:val="008D004E"/>
    <w:rsid w:val="008D35F9"/>
    <w:rsid w:val="008D5AF4"/>
    <w:rsid w:val="008D7594"/>
    <w:rsid w:val="008E583E"/>
    <w:rsid w:val="00902EBB"/>
    <w:rsid w:val="0090341D"/>
    <w:rsid w:val="0090634F"/>
    <w:rsid w:val="00930BE1"/>
    <w:rsid w:val="00954A89"/>
    <w:rsid w:val="00957818"/>
    <w:rsid w:val="00970FE5"/>
    <w:rsid w:val="00972E91"/>
    <w:rsid w:val="00974510"/>
    <w:rsid w:val="0098127B"/>
    <w:rsid w:val="00982908"/>
    <w:rsid w:val="00984F18"/>
    <w:rsid w:val="0099037D"/>
    <w:rsid w:val="00992792"/>
    <w:rsid w:val="009A5441"/>
    <w:rsid w:val="009B0F18"/>
    <w:rsid w:val="009B50CB"/>
    <w:rsid w:val="009C5A7A"/>
    <w:rsid w:val="009D0743"/>
    <w:rsid w:val="009D4390"/>
    <w:rsid w:val="009F0948"/>
    <w:rsid w:val="009F3755"/>
    <w:rsid w:val="009F4DD2"/>
    <w:rsid w:val="00A109E2"/>
    <w:rsid w:val="00A14AEE"/>
    <w:rsid w:val="00A1630C"/>
    <w:rsid w:val="00A17976"/>
    <w:rsid w:val="00A24C18"/>
    <w:rsid w:val="00A269BD"/>
    <w:rsid w:val="00A27838"/>
    <w:rsid w:val="00A32799"/>
    <w:rsid w:val="00A341F5"/>
    <w:rsid w:val="00A34AC7"/>
    <w:rsid w:val="00A41173"/>
    <w:rsid w:val="00A54A42"/>
    <w:rsid w:val="00A54EC6"/>
    <w:rsid w:val="00A6006F"/>
    <w:rsid w:val="00A6115F"/>
    <w:rsid w:val="00A70518"/>
    <w:rsid w:val="00A709CB"/>
    <w:rsid w:val="00A71B73"/>
    <w:rsid w:val="00A73946"/>
    <w:rsid w:val="00A942B3"/>
    <w:rsid w:val="00AB0A16"/>
    <w:rsid w:val="00AC3801"/>
    <w:rsid w:val="00AC7964"/>
    <w:rsid w:val="00AC7CE3"/>
    <w:rsid w:val="00AD3EF4"/>
    <w:rsid w:val="00AE1E87"/>
    <w:rsid w:val="00AE3EAB"/>
    <w:rsid w:val="00AE40CA"/>
    <w:rsid w:val="00B11B33"/>
    <w:rsid w:val="00B12C01"/>
    <w:rsid w:val="00B17219"/>
    <w:rsid w:val="00B41F45"/>
    <w:rsid w:val="00B4204F"/>
    <w:rsid w:val="00B43169"/>
    <w:rsid w:val="00B438CB"/>
    <w:rsid w:val="00B51BE8"/>
    <w:rsid w:val="00B51D2C"/>
    <w:rsid w:val="00B61AF3"/>
    <w:rsid w:val="00B62AC7"/>
    <w:rsid w:val="00B6700F"/>
    <w:rsid w:val="00B74D38"/>
    <w:rsid w:val="00B84A40"/>
    <w:rsid w:val="00B9228B"/>
    <w:rsid w:val="00B939EB"/>
    <w:rsid w:val="00B95ED4"/>
    <w:rsid w:val="00B96B8E"/>
    <w:rsid w:val="00BA2001"/>
    <w:rsid w:val="00BA436A"/>
    <w:rsid w:val="00BB411F"/>
    <w:rsid w:val="00BB688D"/>
    <w:rsid w:val="00BC3F83"/>
    <w:rsid w:val="00BC5A2F"/>
    <w:rsid w:val="00BD668B"/>
    <w:rsid w:val="00BE179D"/>
    <w:rsid w:val="00BE3236"/>
    <w:rsid w:val="00BE649B"/>
    <w:rsid w:val="00BF70D1"/>
    <w:rsid w:val="00C04514"/>
    <w:rsid w:val="00C13520"/>
    <w:rsid w:val="00C24D57"/>
    <w:rsid w:val="00C33F64"/>
    <w:rsid w:val="00C5719C"/>
    <w:rsid w:val="00C61E75"/>
    <w:rsid w:val="00C62049"/>
    <w:rsid w:val="00C63759"/>
    <w:rsid w:val="00C717C3"/>
    <w:rsid w:val="00CA05FC"/>
    <w:rsid w:val="00CA584E"/>
    <w:rsid w:val="00CB2378"/>
    <w:rsid w:val="00CB36ED"/>
    <w:rsid w:val="00CB79C1"/>
    <w:rsid w:val="00CC570B"/>
    <w:rsid w:val="00CC5B99"/>
    <w:rsid w:val="00CC71A3"/>
    <w:rsid w:val="00CD133A"/>
    <w:rsid w:val="00CD1C90"/>
    <w:rsid w:val="00CD209B"/>
    <w:rsid w:val="00CD2FA0"/>
    <w:rsid w:val="00CD464E"/>
    <w:rsid w:val="00CE0160"/>
    <w:rsid w:val="00CE071C"/>
    <w:rsid w:val="00CE6C22"/>
    <w:rsid w:val="00CF11E6"/>
    <w:rsid w:val="00D00D19"/>
    <w:rsid w:val="00D03AAF"/>
    <w:rsid w:val="00D14A12"/>
    <w:rsid w:val="00D176BD"/>
    <w:rsid w:val="00D20445"/>
    <w:rsid w:val="00D21EF2"/>
    <w:rsid w:val="00D22780"/>
    <w:rsid w:val="00D23514"/>
    <w:rsid w:val="00D30120"/>
    <w:rsid w:val="00D31896"/>
    <w:rsid w:val="00D41FE7"/>
    <w:rsid w:val="00D43374"/>
    <w:rsid w:val="00D45497"/>
    <w:rsid w:val="00D461AE"/>
    <w:rsid w:val="00D605D1"/>
    <w:rsid w:val="00D62683"/>
    <w:rsid w:val="00D67F2F"/>
    <w:rsid w:val="00D84A9A"/>
    <w:rsid w:val="00D9423C"/>
    <w:rsid w:val="00D95335"/>
    <w:rsid w:val="00DA7AD5"/>
    <w:rsid w:val="00DB4074"/>
    <w:rsid w:val="00DF07EE"/>
    <w:rsid w:val="00DF63C8"/>
    <w:rsid w:val="00E0154C"/>
    <w:rsid w:val="00E02420"/>
    <w:rsid w:val="00E12397"/>
    <w:rsid w:val="00E12A66"/>
    <w:rsid w:val="00E216AB"/>
    <w:rsid w:val="00E2252E"/>
    <w:rsid w:val="00E23C18"/>
    <w:rsid w:val="00E3758F"/>
    <w:rsid w:val="00E4522C"/>
    <w:rsid w:val="00E461E2"/>
    <w:rsid w:val="00E50763"/>
    <w:rsid w:val="00E52C26"/>
    <w:rsid w:val="00E627B8"/>
    <w:rsid w:val="00E66D37"/>
    <w:rsid w:val="00E73A6A"/>
    <w:rsid w:val="00E82F15"/>
    <w:rsid w:val="00E87229"/>
    <w:rsid w:val="00E87C7D"/>
    <w:rsid w:val="00E90B41"/>
    <w:rsid w:val="00E91CD7"/>
    <w:rsid w:val="00E95E7B"/>
    <w:rsid w:val="00EA233B"/>
    <w:rsid w:val="00EA4AF6"/>
    <w:rsid w:val="00EB6C86"/>
    <w:rsid w:val="00EC202E"/>
    <w:rsid w:val="00EC2B70"/>
    <w:rsid w:val="00EC43CB"/>
    <w:rsid w:val="00EC459A"/>
    <w:rsid w:val="00EC7123"/>
    <w:rsid w:val="00EC75E1"/>
    <w:rsid w:val="00ED674E"/>
    <w:rsid w:val="00ED679C"/>
    <w:rsid w:val="00EE65EC"/>
    <w:rsid w:val="00EF1038"/>
    <w:rsid w:val="00EF4283"/>
    <w:rsid w:val="00F07A5C"/>
    <w:rsid w:val="00F10673"/>
    <w:rsid w:val="00F1703F"/>
    <w:rsid w:val="00F17B7C"/>
    <w:rsid w:val="00F21349"/>
    <w:rsid w:val="00F3059D"/>
    <w:rsid w:val="00F363AE"/>
    <w:rsid w:val="00F54D6B"/>
    <w:rsid w:val="00F6567F"/>
    <w:rsid w:val="00F67483"/>
    <w:rsid w:val="00F705A8"/>
    <w:rsid w:val="00F70D07"/>
    <w:rsid w:val="00F71B90"/>
    <w:rsid w:val="00F743C0"/>
    <w:rsid w:val="00F84A03"/>
    <w:rsid w:val="00F911AE"/>
    <w:rsid w:val="00F911E0"/>
    <w:rsid w:val="00F9295B"/>
    <w:rsid w:val="00FA0D38"/>
    <w:rsid w:val="00FB0EB1"/>
    <w:rsid w:val="00FB1F71"/>
    <w:rsid w:val="00FB24D0"/>
    <w:rsid w:val="00FB6F2C"/>
    <w:rsid w:val="00FC04C9"/>
    <w:rsid w:val="00FC430A"/>
    <w:rsid w:val="00FD0638"/>
    <w:rsid w:val="00FD1BF2"/>
    <w:rsid w:val="00FD4E9C"/>
    <w:rsid w:val="00FD58A1"/>
    <w:rsid w:val="00FE343D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99EB"/>
  <w15:chartTrackingRefBased/>
  <w15:docId w15:val="{76A24DDB-A546-4242-A02B-E3380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2F286-C601-4FF8-9956-ACA6878F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2733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Jach, Sebastian</cp:lastModifiedBy>
  <cp:revision>11</cp:revision>
  <cp:lastPrinted>2022-11-16T09:09:00Z</cp:lastPrinted>
  <dcterms:created xsi:type="dcterms:W3CDTF">2022-11-14T10:56:00Z</dcterms:created>
  <dcterms:modified xsi:type="dcterms:W3CDTF">2022-11-17T07:15:00Z</dcterms:modified>
</cp:coreProperties>
</file>