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43" w:rsidRDefault="00947786" w:rsidP="006D71D7">
      <w:pPr>
        <w:rPr>
          <w:b/>
        </w:rPr>
      </w:pPr>
      <w:r w:rsidRPr="00F91CE4">
        <w:rPr>
          <w:b/>
        </w:rPr>
        <w:t>Opis przedmiotu zamówienia</w:t>
      </w:r>
      <w:r w:rsidR="00F91CE4" w:rsidRPr="00F91CE4">
        <w:rPr>
          <w:b/>
        </w:rPr>
        <w:t>:</w:t>
      </w:r>
    </w:p>
    <w:p w:rsidR="006D71D7" w:rsidRPr="00F91CE4" w:rsidRDefault="006D71D7" w:rsidP="006D71D7">
      <w:pPr>
        <w:jc w:val="both"/>
        <w:rPr>
          <w:b/>
        </w:rPr>
      </w:pPr>
      <w:r>
        <w:rPr>
          <w:b/>
        </w:rPr>
        <w:t xml:space="preserve">Zamówienie dotyczy wymiany wykładzin dywanowej w pomieszczeniach Sekretariatu i Gabinetu Marszałka Województwa Świętokrzyskiego na I piętrze budynku C2 zlokalizowanego przy </w:t>
      </w:r>
      <w:r>
        <w:rPr>
          <w:b/>
        </w:rPr>
        <w:br/>
        <w:t>Al. IX Wieków Kielc 3.</w:t>
      </w:r>
    </w:p>
    <w:p w:rsidR="00F91CE4" w:rsidRDefault="00F91CE4" w:rsidP="00F91CE4">
      <w:pPr>
        <w:pStyle w:val="Default"/>
        <w:spacing w:after="5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Zakres </w:t>
      </w:r>
      <w:r w:rsidR="006D71D7">
        <w:rPr>
          <w:sz w:val="23"/>
          <w:szCs w:val="23"/>
        </w:rPr>
        <w:t>robót określa Przedmiar robót będący załącznikiem do zaproszenia</w:t>
      </w:r>
    </w:p>
    <w:p w:rsidR="00F91CE4" w:rsidRDefault="00F91CE4">
      <w:r>
        <w:rPr>
          <w:sz w:val="23"/>
          <w:szCs w:val="23"/>
        </w:rPr>
        <w:t xml:space="preserve">Szczegółową specyfikację techniczną wykładziny przedstawia poniższa tabela </w:t>
      </w:r>
    </w:p>
    <w:tbl>
      <w:tblPr>
        <w:tblStyle w:val="Tabela-Siatka"/>
        <w:tblW w:w="9287" w:type="dxa"/>
        <w:tblLook w:val="04A0" w:firstRow="1" w:lastRow="0" w:firstColumn="1" w:lastColumn="0" w:noHBand="0" w:noVBand="1"/>
      </w:tblPr>
      <w:tblGrid>
        <w:gridCol w:w="3569"/>
        <w:gridCol w:w="1715"/>
        <w:gridCol w:w="4003"/>
      </w:tblGrid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>
            <w:r>
              <w:t>Konstrukcja</w:t>
            </w:r>
          </w:p>
        </w:tc>
        <w:tc>
          <w:tcPr>
            <w:tcW w:w="1715" w:type="dxa"/>
          </w:tcPr>
          <w:p w:rsidR="004418E4" w:rsidRDefault="004418E4"/>
        </w:tc>
        <w:tc>
          <w:tcPr>
            <w:tcW w:w="4003" w:type="dxa"/>
          </w:tcPr>
          <w:p w:rsidR="004418E4" w:rsidRPr="00421134" w:rsidRDefault="004418E4">
            <w:r>
              <w:t>1/12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  <w:proofErr w:type="spellStart"/>
            <w:r>
              <w:t>Pattern</w:t>
            </w:r>
            <w:proofErr w:type="spellEnd"/>
            <w:r>
              <w:t xml:space="preserve"> Perfect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>
            <w:r>
              <w:t>Skład i rodzaj runa</w:t>
            </w:r>
          </w:p>
        </w:tc>
        <w:tc>
          <w:tcPr>
            <w:tcW w:w="1715" w:type="dxa"/>
          </w:tcPr>
          <w:p w:rsidR="004418E4" w:rsidRDefault="004418E4"/>
        </w:tc>
        <w:tc>
          <w:tcPr>
            <w:tcW w:w="4003" w:type="dxa"/>
          </w:tcPr>
          <w:p w:rsidR="004418E4" w:rsidRDefault="004418E4">
            <w:r>
              <w:t xml:space="preserve"> ECONYL-  100% regeneracji nylonu</w:t>
            </w:r>
          </w:p>
        </w:tc>
      </w:tr>
      <w:tr w:rsidR="004418E4" w:rsidTr="00947786">
        <w:trPr>
          <w:trHeight w:val="215"/>
        </w:trPr>
        <w:tc>
          <w:tcPr>
            <w:tcW w:w="3569" w:type="dxa"/>
          </w:tcPr>
          <w:p w:rsidR="004418E4" w:rsidRDefault="004418E4">
            <w:r>
              <w:t>Podłoże wtórne</w:t>
            </w:r>
          </w:p>
        </w:tc>
        <w:tc>
          <w:tcPr>
            <w:tcW w:w="1715" w:type="dxa"/>
          </w:tcPr>
          <w:p w:rsidR="004418E4" w:rsidRDefault="004418E4"/>
        </w:tc>
        <w:tc>
          <w:tcPr>
            <w:tcW w:w="4003" w:type="dxa"/>
          </w:tcPr>
          <w:p w:rsidR="004418E4" w:rsidRDefault="004418E4">
            <w:proofErr w:type="spellStart"/>
            <w:r>
              <w:t>EcoFlex</w:t>
            </w:r>
            <w:proofErr w:type="spellEnd"/>
            <w:r>
              <w:t xml:space="preserve"> Echo(94% filc z recyklingu)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>
            <w:r>
              <w:t>Waga całkowita</w:t>
            </w:r>
          </w:p>
        </w:tc>
        <w:tc>
          <w:tcPr>
            <w:tcW w:w="1715" w:type="dxa"/>
          </w:tcPr>
          <w:p w:rsidR="004418E4" w:rsidRDefault="004418E4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:rsidR="004418E4" w:rsidRPr="00421134" w:rsidRDefault="004418E4">
            <w:pPr>
              <w:rPr>
                <w:vertAlign w:val="superscript"/>
              </w:rPr>
            </w:pPr>
            <w:r>
              <w:rPr>
                <w:rFonts w:cstheme="minorHAnsi"/>
              </w:rPr>
              <w:t xml:space="preserve">± </w:t>
            </w:r>
            <w:r>
              <w:rPr>
                <w:rFonts w:ascii="Calibri" w:hAnsi="Calibri" w:cs="Calibri"/>
              </w:rPr>
              <w:t>5295 g/m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4418E4" w:rsidTr="00947786">
        <w:trPr>
          <w:trHeight w:val="215"/>
        </w:trPr>
        <w:tc>
          <w:tcPr>
            <w:tcW w:w="3569" w:type="dxa"/>
          </w:tcPr>
          <w:p w:rsidR="004418E4" w:rsidRDefault="004418E4">
            <w:r>
              <w:t>Waga runa</w:t>
            </w:r>
          </w:p>
        </w:tc>
        <w:tc>
          <w:tcPr>
            <w:tcW w:w="1715" w:type="dxa"/>
          </w:tcPr>
          <w:p w:rsidR="004418E4" w:rsidRDefault="004418E4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:rsidR="004418E4" w:rsidRDefault="004418E4">
            <w:r>
              <w:rPr>
                <w:rFonts w:cstheme="minorHAnsi"/>
              </w:rPr>
              <w:t xml:space="preserve">± 780 </w:t>
            </w:r>
            <w:r>
              <w:rPr>
                <w:rFonts w:ascii="Calibri" w:hAnsi="Calibri" w:cs="Calibri"/>
              </w:rPr>
              <w:t>g/m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>
            <w:r>
              <w:t xml:space="preserve"> Waga runa na powierzchni </w:t>
            </w:r>
          </w:p>
        </w:tc>
        <w:tc>
          <w:tcPr>
            <w:tcW w:w="1715" w:type="dxa"/>
          </w:tcPr>
          <w:p w:rsidR="004418E4" w:rsidRDefault="004418E4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:rsidR="004418E4" w:rsidRDefault="004418E4">
            <w:r>
              <w:rPr>
                <w:rFonts w:cstheme="minorHAnsi"/>
              </w:rPr>
              <w:t xml:space="preserve">± 480 </w:t>
            </w:r>
            <w:r>
              <w:rPr>
                <w:rFonts w:ascii="Calibri" w:hAnsi="Calibri" w:cs="Calibri"/>
              </w:rPr>
              <w:t>g/m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4418E4" w:rsidTr="00947786">
        <w:trPr>
          <w:trHeight w:val="215"/>
        </w:trPr>
        <w:tc>
          <w:tcPr>
            <w:tcW w:w="3569" w:type="dxa"/>
          </w:tcPr>
          <w:p w:rsidR="004418E4" w:rsidRDefault="004418E4">
            <w:r>
              <w:t xml:space="preserve">Grubość całkowita </w:t>
            </w:r>
          </w:p>
        </w:tc>
        <w:tc>
          <w:tcPr>
            <w:tcW w:w="1715" w:type="dxa"/>
          </w:tcPr>
          <w:p w:rsidR="004418E4" w:rsidRDefault="004418E4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:rsidR="004418E4" w:rsidRDefault="004418E4">
            <w:r>
              <w:rPr>
                <w:rFonts w:cstheme="minorHAnsi"/>
              </w:rPr>
              <w:t>± 8,7 mm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>
            <w:r>
              <w:t xml:space="preserve">Grubość runa powierzchniowa </w:t>
            </w:r>
          </w:p>
        </w:tc>
        <w:tc>
          <w:tcPr>
            <w:tcW w:w="1715" w:type="dxa"/>
          </w:tcPr>
          <w:p w:rsidR="004418E4" w:rsidRDefault="004418E4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:rsidR="004418E4" w:rsidRDefault="004418E4">
            <w:r>
              <w:rPr>
                <w:rFonts w:cstheme="minorHAnsi"/>
              </w:rPr>
              <w:t>± 3,3 mm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>
            <w:r>
              <w:t>Gęstość runa</w:t>
            </w:r>
          </w:p>
        </w:tc>
        <w:tc>
          <w:tcPr>
            <w:tcW w:w="1715" w:type="dxa"/>
          </w:tcPr>
          <w:p w:rsidR="004418E4" w:rsidRDefault="004418E4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:rsidR="004418E4" w:rsidRDefault="004418E4">
            <w:r>
              <w:rPr>
                <w:rFonts w:cstheme="minorHAnsi"/>
              </w:rPr>
              <w:t xml:space="preserve">± 0,147 </w:t>
            </w:r>
            <w:r>
              <w:rPr>
                <w:rFonts w:ascii="Calibri" w:hAnsi="Calibri" w:cs="Calibri"/>
              </w:rPr>
              <w:t>g/cm</w:t>
            </w:r>
            <w:r>
              <w:rPr>
                <w:rFonts w:ascii="Calibri" w:hAnsi="Calibri" w:cs="Calibri"/>
                <w:vertAlign w:val="superscript"/>
              </w:rPr>
              <w:t>3</w:t>
            </w:r>
          </w:p>
        </w:tc>
      </w:tr>
      <w:tr w:rsidR="004418E4" w:rsidTr="00947786">
        <w:trPr>
          <w:trHeight w:val="215"/>
        </w:trPr>
        <w:tc>
          <w:tcPr>
            <w:tcW w:w="3569" w:type="dxa"/>
          </w:tcPr>
          <w:p w:rsidR="004418E4" w:rsidRDefault="004418E4">
            <w:r>
              <w:t xml:space="preserve">Liczba pętelek </w:t>
            </w:r>
          </w:p>
        </w:tc>
        <w:tc>
          <w:tcPr>
            <w:tcW w:w="1715" w:type="dxa"/>
          </w:tcPr>
          <w:p w:rsidR="004418E4" w:rsidRDefault="004418E4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:rsidR="004418E4" w:rsidRDefault="004418E4">
            <w:r>
              <w:rPr>
                <w:rFonts w:cstheme="minorHAnsi"/>
              </w:rPr>
              <w:t>± 132.080</w:t>
            </w:r>
            <w:r>
              <w:rPr>
                <w:rFonts w:ascii="Calibri" w:hAnsi="Calibri" w:cs="Calibri"/>
              </w:rPr>
              <w:t>/m</w:t>
            </w:r>
            <w:r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 w:rsidP="004418E4">
            <w:r>
              <w:t xml:space="preserve">Klasyfikacja odporności na ścieranie </w:t>
            </w:r>
          </w:p>
        </w:tc>
        <w:tc>
          <w:tcPr>
            <w:tcW w:w="1715" w:type="dxa"/>
          </w:tcPr>
          <w:p w:rsidR="004418E4" w:rsidRDefault="004418E4" w:rsidP="004418E4">
            <w:r>
              <w:t>EN 1307</w:t>
            </w:r>
          </w:p>
        </w:tc>
        <w:tc>
          <w:tcPr>
            <w:tcW w:w="4003" w:type="dxa"/>
          </w:tcPr>
          <w:p w:rsidR="004418E4" w:rsidRDefault="004418E4" w:rsidP="004418E4">
            <w:r>
              <w:t>33 / LC2</w:t>
            </w:r>
          </w:p>
        </w:tc>
      </w:tr>
      <w:tr w:rsidR="004418E4" w:rsidTr="00947786">
        <w:trPr>
          <w:trHeight w:val="215"/>
        </w:trPr>
        <w:tc>
          <w:tcPr>
            <w:tcW w:w="3569" w:type="dxa"/>
          </w:tcPr>
          <w:p w:rsidR="004418E4" w:rsidRDefault="004418E4" w:rsidP="004418E4">
            <w:r>
              <w:t xml:space="preserve">Odporność na kółka foteli </w:t>
            </w:r>
          </w:p>
        </w:tc>
        <w:tc>
          <w:tcPr>
            <w:tcW w:w="1715" w:type="dxa"/>
          </w:tcPr>
          <w:p w:rsidR="004418E4" w:rsidRDefault="004418E4" w:rsidP="004418E4">
            <w:r>
              <w:t>EN 985</w:t>
            </w:r>
          </w:p>
        </w:tc>
        <w:tc>
          <w:tcPr>
            <w:tcW w:w="4003" w:type="dxa"/>
          </w:tcPr>
          <w:p w:rsidR="004418E4" w:rsidRDefault="004418E4" w:rsidP="004418E4">
            <w:r>
              <w:t xml:space="preserve">A: </w:t>
            </w:r>
            <w:proofErr w:type="spellStart"/>
            <w:r>
              <w:t>intensive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(intensywne używanie)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 w:rsidP="004418E4">
            <w:r>
              <w:t>Trudnopalność</w:t>
            </w:r>
          </w:p>
        </w:tc>
        <w:tc>
          <w:tcPr>
            <w:tcW w:w="1715" w:type="dxa"/>
          </w:tcPr>
          <w:p w:rsidR="004418E4" w:rsidRDefault="004418E4" w:rsidP="004418E4">
            <w:r>
              <w:t>EN 13501-1</w:t>
            </w:r>
          </w:p>
        </w:tc>
        <w:tc>
          <w:tcPr>
            <w:tcW w:w="4003" w:type="dxa"/>
          </w:tcPr>
          <w:p w:rsidR="004418E4" w:rsidRDefault="004418E4" w:rsidP="004418E4">
            <w:r>
              <w:t>Bfl-s1</w:t>
            </w:r>
          </w:p>
        </w:tc>
      </w:tr>
      <w:tr w:rsidR="004418E4" w:rsidTr="00947786">
        <w:trPr>
          <w:trHeight w:val="215"/>
        </w:trPr>
        <w:tc>
          <w:tcPr>
            <w:tcW w:w="3569" w:type="dxa"/>
          </w:tcPr>
          <w:p w:rsidR="004418E4" w:rsidRDefault="004418E4" w:rsidP="004418E4">
            <w:r>
              <w:t>Stabilność wymiarowa</w:t>
            </w:r>
          </w:p>
        </w:tc>
        <w:tc>
          <w:tcPr>
            <w:tcW w:w="1715" w:type="dxa"/>
          </w:tcPr>
          <w:p w:rsidR="004418E4" w:rsidRDefault="004418E4" w:rsidP="004418E4">
            <w:r>
              <w:t xml:space="preserve"> EN 985</w:t>
            </w:r>
          </w:p>
        </w:tc>
        <w:tc>
          <w:tcPr>
            <w:tcW w:w="4003" w:type="dxa"/>
          </w:tcPr>
          <w:p w:rsidR="004418E4" w:rsidRDefault="004418E4" w:rsidP="004418E4">
            <w:r>
              <w:rPr>
                <w:rFonts w:cstheme="minorHAnsi"/>
              </w:rPr>
              <w:t>≤</w:t>
            </w:r>
            <w:r>
              <w:t xml:space="preserve"> 0,2%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 w:rsidP="004418E4">
            <w:r>
              <w:t xml:space="preserve">Odporność kolorów na światło </w:t>
            </w:r>
          </w:p>
        </w:tc>
        <w:tc>
          <w:tcPr>
            <w:tcW w:w="1715" w:type="dxa"/>
          </w:tcPr>
          <w:p w:rsidR="004418E4" w:rsidRDefault="004418E4" w:rsidP="004418E4">
            <w:r>
              <w:t>EN ISO 105-B02</w:t>
            </w:r>
          </w:p>
        </w:tc>
        <w:tc>
          <w:tcPr>
            <w:tcW w:w="4003" w:type="dxa"/>
          </w:tcPr>
          <w:p w:rsidR="004418E4" w:rsidRDefault="004418E4" w:rsidP="004418E4">
            <w:r>
              <w:rPr>
                <w:rFonts w:cstheme="minorHAnsi"/>
              </w:rPr>
              <w:t>≥</w:t>
            </w:r>
            <w:r>
              <w:t xml:space="preserve"> 7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 w:rsidP="004418E4">
            <w:r>
              <w:t>Odporność na ścieranie</w:t>
            </w:r>
          </w:p>
        </w:tc>
        <w:tc>
          <w:tcPr>
            <w:tcW w:w="1715" w:type="dxa"/>
          </w:tcPr>
          <w:p w:rsidR="004418E4" w:rsidRDefault="004418E4" w:rsidP="004418E4">
            <w:r>
              <w:t>EN ISO 105-X12</w:t>
            </w:r>
          </w:p>
        </w:tc>
        <w:tc>
          <w:tcPr>
            <w:tcW w:w="4003" w:type="dxa"/>
          </w:tcPr>
          <w:p w:rsidR="004418E4" w:rsidRDefault="004418E4" w:rsidP="004418E4">
            <w:r>
              <w:rPr>
                <w:rFonts w:cstheme="minorHAnsi"/>
              </w:rPr>
              <w:t>≥</w:t>
            </w:r>
            <w:r>
              <w:t xml:space="preserve"> 4</w:t>
            </w:r>
          </w:p>
        </w:tc>
      </w:tr>
      <w:tr w:rsidR="004418E4" w:rsidTr="00947786">
        <w:trPr>
          <w:trHeight w:val="215"/>
        </w:trPr>
        <w:tc>
          <w:tcPr>
            <w:tcW w:w="3569" w:type="dxa"/>
          </w:tcPr>
          <w:p w:rsidR="004418E4" w:rsidRDefault="004418E4" w:rsidP="004418E4">
            <w:r>
              <w:t>Odporność kolorów na wodę</w:t>
            </w:r>
          </w:p>
        </w:tc>
        <w:tc>
          <w:tcPr>
            <w:tcW w:w="1715" w:type="dxa"/>
          </w:tcPr>
          <w:p w:rsidR="004418E4" w:rsidRDefault="004418E4" w:rsidP="004418E4">
            <w:r>
              <w:t>EN ISO 105-E01</w:t>
            </w:r>
          </w:p>
        </w:tc>
        <w:tc>
          <w:tcPr>
            <w:tcW w:w="4003" w:type="dxa"/>
          </w:tcPr>
          <w:p w:rsidR="004418E4" w:rsidRDefault="004418E4" w:rsidP="004418E4">
            <w:r>
              <w:rPr>
                <w:rFonts w:cstheme="minorHAnsi"/>
              </w:rPr>
              <w:t>≥</w:t>
            </w:r>
            <w:r>
              <w:t xml:space="preserve"> 4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4418E4" w:rsidP="004418E4">
            <w:r>
              <w:t>Odporność termiczna</w:t>
            </w:r>
          </w:p>
        </w:tc>
        <w:tc>
          <w:tcPr>
            <w:tcW w:w="1715" w:type="dxa"/>
          </w:tcPr>
          <w:p w:rsidR="004418E4" w:rsidRDefault="004418E4" w:rsidP="004418E4">
            <w:r>
              <w:t>ISO 8302</w:t>
            </w:r>
          </w:p>
        </w:tc>
        <w:tc>
          <w:tcPr>
            <w:tcW w:w="4003" w:type="dxa"/>
          </w:tcPr>
          <w:p w:rsidR="004418E4" w:rsidRPr="004418E4" w:rsidRDefault="004418E4" w:rsidP="004418E4">
            <w:r>
              <w:t>0,114 m</w:t>
            </w:r>
            <w:r>
              <w:rPr>
                <w:vertAlign w:val="superscript"/>
              </w:rPr>
              <w:t>2</w:t>
            </w:r>
            <w:r>
              <w:t xml:space="preserve"> K/W</w:t>
            </w:r>
          </w:p>
        </w:tc>
      </w:tr>
      <w:tr w:rsidR="004418E4" w:rsidTr="00947786">
        <w:trPr>
          <w:trHeight w:val="897"/>
        </w:trPr>
        <w:tc>
          <w:tcPr>
            <w:tcW w:w="3569" w:type="dxa"/>
          </w:tcPr>
          <w:p w:rsidR="004418E4" w:rsidRDefault="004418E4" w:rsidP="004418E4">
            <w:r>
              <w:t xml:space="preserve">Pochłanianie dźwięku </w:t>
            </w:r>
          </w:p>
        </w:tc>
        <w:tc>
          <w:tcPr>
            <w:tcW w:w="1715" w:type="dxa"/>
          </w:tcPr>
          <w:p w:rsidR="004418E4" w:rsidRDefault="004418E4" w:rsidP="004418E4">
            <w:r>
              <w:t>EN ISO 354</w:t>
            </w:r>
          </w:p>
        </w:tc>
        <w:tc>
          <w:tcPr>
            <w:tcW w:w="4003" w:type="dxa"/>
          </w:tcPr>
          <w:p w:rsidR="004418E4" w:rsidRDefault="004418E4" w:rsidP="004418E4">
            <w:pPr>
              <w:rPr>
                <w:i/>
              </w:rPr>
            </w:pPr>
            <w:r>
              <w:t xml:space="preserve">0,30 </w:t>
            </w:r>
            <w:proofErr w:type="spellStart"/>
            <w:r>
              <w:rPr>
                <w:i/>
              </w:rPr>
              <w:t>aw</w:t>
            </w:r>
            <w:proofErr w:type="spellEnd"/>
          </w:p>
          <w:p w:rsidR="00E73EF8" w:rsidRDefault="00E73EF8" w:rsidP="004418E4">
            <w:pPr>
              <w:rPr>
                <w:i/>
              </w:rPr>
            </w:pPr>
          </w:p>
          <w:p w:rsidR="004418E4" w:rsidRDefault="004418E4" w:rsidP="004418E4">
            <w:proofErr w:type="spellStart"/>
            <w:r>
              <w:t>Hz</w:t>
            </w:r>
            <w:proofErr w:type="spellEnd"/>
            <w:r>
              <w:t xml:space="preserve">   125   250   500   1000   2000   4000</w:t>
            </w:r>
          </w:p>
          <w:p w:rsidR="004418E4" w:rsidRPr="00E73EF8" w:rsidRDefault="00E73EF8" w:rsidP="004418E4">
            <w:r>
              <w:rPr>
                <w:i/>
              </w:rPr>
              <w:t xml:space="preserve">as   </w:t>
            </w:r>
            <w:r>
              <w:t xml:space="preserve">0,01   0,03  0,37   0,24   0,35    0,55 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E73EF8" w:rsidP="004418E4">
            <w:r>
              <w:t xml:space="preserve">Współczynnik pochłaniania dźwięku </w:t>
            </w:r>
          </w:p>
        </w:tc>
        <w:tc>
          <w:tcPr>
            <w:tcW w:w="1715" w:type="dxa"/>
          </w:tcPr>
          <w:p w:rsidR="004418E4" w:rsidRDefault="00E73EF8" w:rsidP="004418E4">
            <w:r>
              <w:t>EN ISO 10140-3</w:t>
            </w:r>
          </w:p>
        </w:tc>
        <w:tc>
          <w:tcPr>
            <w:tcW w:w="4003" w:type="dxa"/>
          </w:tcPr>
          <w:p w:rsidR="004418E4" w:rsidRDefault="00E73EF8" w:rsidP="004418E4">
            <w:r>
              <w:rPr>
                <w:rFonts w:cstheme="minorHAnsi"/>
              </w:rPr>
              <w:t>∆</w:t>
            </w:r>
            <w:proofErr w:type="spellStart"/>
            <w:r>
              <w:t>Lw</w:t>
            </w:r>
            <w:proofErr w:type="spellEnd"/>
            <w:r>
              <w:t xml:space="preserve"> = 30 </w:t>
            </w:r>
            <w:proofErr w:type="spellStart"/>
            <w:r>
              <w:t>dB</w:t>
            </w:r>
            <w:proofErr w:type="spellEnd"/>
          </w:p>
        </w:tc>
      </w:tr>
      <w:tr w:rsidR="004418E4" w:rsidTr="00947786">
        <w:trPr>
          <w:trHeight w:val="215"/>
        </w:trPr>
        <w:tc>
          <w:tcPr>
            <w:tcW w:w="3569" w:type="dxa"/>
          </w:tcPr>
          <w:p w:rsidR="004418E4" w:rsidRDefault="00E73EF8" w:rsidP="004418E4">
            <w:r>
              <w:t xml:space="preserve">Trwała antystatyczność </w:t>
            </w:r>
          </w:p>
        </w:tc>
        <w:tc>
          <w:tcPr>
            <w:tcW w:w="1715" w:type="dxa"/>
          </w:tcPr>
          <w:p w:rsidR="004418E4" w:rsidRDefault="00E73EF8" w:rsidP="004418E4">
            <w:r>
              <w:t>ISO 6356</w:t>
            </w:r>
          </w:p>
        </w:tc>
        <w:tc>
          <w:tcPr>
            <w:tcW w:w="4003" w:type="dxa"/>
          </w:tcPr>
          <w:p w:rsidR="004418E4" w:rsidRDefault="00E73EF8" w:rsidP="004418E4">
            <w:r>
              <w:rPr>
                <w:rFonts w:cstheme="minorHAnsi"/>
              </w:rPr>
              <w:t>≤</w:t>
            </w:r>
            <w:r>
              <w:t xml:space="preserve"> 2kV</w:t>
            </w:r>
          </w:p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E73EF8" w:rsidP="004418E4">
            <w:r>
              <w:t xml:space="preserve">Liczba kolorów </w:t>
            </w:r>
          </w:p>
        </w:tc>
        <w:tc>
          <w:tcPr>
            <w:tcW w:w="1715" w:type="dxa"/>
          </w:tcPr>
          <w:p w:rsidR="004418E4" w:rsidRDefault="004418E4" w:rsidP="004418E4"/>
        </w:tc>
        <w:tc>
          <w:tcPr>
            <w:tcW w:w="4003" w:type="dxa"/>
          </w:tcPr>
          <w:p w:rsidR="004418E4" w:rsidRDefault="00E73EF8" w:rsidP="004418E4">
            <w:r>
              <w:t>12</w:t>
            </w:r>
          </w:p>
        </w:tc>
      </w:tr>
      <w:tr w:rsidR="004418E4" w:rsidTr="00947786">
        <w:trPr>
          <w:trHeight w:val="442"/>
        </w:trPr>
        <w:tc>
          <w:tcPr>
            <w:tcW w:w="3569" w:type="dxa"/>
          </w:tcPr>
          <w:p w:rsidR="004418E4" w:rsidRDefault="00E73EF8" w:rsidP="004418E4">
            <w:r>
              <w:t xml:space="preserve">Rozmiar i opakowanie </w:t>
            </w:r>
          </w:p>
        </w:tc>
        <w:tc>
          <w:tcPr>
            <w:tcW w:w="1715" w:type="dxa"/>
          </w:tcPr>
          <w:p w:rsidR="004418E4" w:rsidRDefault="004418E4" w:rsidP="004418E4"/>
        </w:tc>
        <w:tc>
          <w:tcPr>
            <w:tcW w:w="4003" w:type="dxa"/>
          </w:tcPr>
          <w:p w:rsidR="004418E4" w:rsidRDefault="00E73EF8" w:rsidP="004418E4">
            <w:r>
              <w:t>25x100 cm</w:t>
            </w:r>
          </w:p>
          <w:p w:rsidR="00E73EF8" w:rsidRPr="00E73EF8" w:rsidRDefault="00E73EF8" w:rsidP="00E73EF8"/>
        </w:tc>
      </w:tr>
      <w:tr w:rsidR="004418E4" w:rsidTr="00947786">
        <w:trPr>
          <w:trHeight w:val="228"/>
        </w:trPr>
        <w:tc>
          <w:tcPr>
            <w:tcW w:w="3569" w:type="dxa"/>
          </w:tcPr>
          <w:p w:rsidR="004418E4" w:rsidRDefault="00E73EF8" w:rsidP="004418E4">
            <w:r>
              <w:t>Numer GUT-</w:t>
            </w:r>
            <w:proofErr w:type="spellStart"/>
            <w:r>
              <w:t>Prodis</w:t>
            </w:r>
            <w:proofErr w:type="spellEnd"/>
          </w:p>
        </w:tc>
        <w:tc>
          <w:tcPr>
            <w:tcW w:w="1715" w:type="dxa"/>
          </w:tcPr>
          <w:p w:rsidR="004418E4" w:rsidRDefault="004418E4" w:rsidP="004418E4"/>
        </w:tc>
        <w:tc>
          <w:tcPr>
            <w:tcW w:w="4003" w:type="dxa"/>
          </w:tcPr>
          <w:p w:rsidR="004418E4" w:rsidRDefault="00E73EF8" w:rsidP="004418E4">
            <w:r>
              <w:t xml:space="preserve">Bieżący </w:t>
            </w:r>
          </w:p>
        </w:tc>
      </w:tr>
    </w:tbl>
    <w:p w:rsidR="00947786" w:rsidRPr="00947786" w:rsidRDefault="00947786">
      <w:pPr>
        <w:rPr>
          <w:b/>
        </w:rPr>
      </w:pPr>
      <w:r w:rsidRPr="00947786">
        <w:rPr>
          <w:b/>
        </w:rPr>
        <w:t>Kolorystyka wymagana przez Zamawiającego</w:t>
      </w:r>
    </w:p>
    <w:p w:rsidR="00947786" w:rsidRDefault="00947786">
      <w:r>
        <w:rPr>
          <w:noProof/>
          <w:lang w:eastAsia="pl-PL"/>
        </w:rPr>
        <w:drawing>
          <wp:inline distT="0" distB="0" distL="0" distR="0" wp14:anchorId="4C7B7120" wp14:editId="128F8D5B">
            <wp:extent cx="5686425" cy="1971675"/>
            <wp:effectExtent l="0" t="0" r="0" b="9525"/>
            <wp:docPr id="1" name="Obraz 1" descr="https://mondis.pl/wp-content/uploads/2022/05/Rupture-7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ndis.pl/wp-content/uploads/2022/05/Rupture-74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797" cy="1971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5D"/>
    <w:rsid w:val="00100B6E"/>
    <w:rsid w:val="00161AEF"/>
    <w:rsid w:val="0016225D"/>
    <w:rsid w:val="00421134"/>
    <w:rsid w:val="004418E4"/>
    <w:rsid w:val="006D71D7"/>
    <w:rsid w:val="00947786"/>
    <w:rsid w:val="009664F2"/>
    <w:rsid w:val="00BC6543"/>
    <w:rsid w:val="00E73EF8"/>
    <w:rsid w:val="00F9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1CE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7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1CE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Danielewicz, Marcin</dc:creator>
  <cp:lastModifiedBy>Szwajnoch, Sebastian</cp:lastModifiedBy>
  <cp:revision>6</cp:revision>
  <dcterms:created xsi:type="dcterms:W3CDTF">2022-09-01T06:12:00Z</dcterms:created>
  <dcterms:modified xsi:type="dcterms:W3CDTF">2022-09-01T06:40:00Z</dcterms:modified>
</cp:coreProperties>
</file>