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7777777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1001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B33450">
        <w:trPr>
          <w:trHeight w:hRule="exact" w:val="936"/>
        </w:trPr>
        <w:tc>
          <w:tcPr>
            <w:tcW w:w="1546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B33450">
        <w:trPr>
          <w:trHeight w:hRule="exact" w:val="2582"/>
        </w:trPr>
        <w:tc>
          <w:tcPr>
            <w:tcW w:w="10015" w:type="dxa"/>
            <w:gridSpan w:val="2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347137B1" w14:textId="3E0D0BD0" w:rsidR="007F3BC1" w:rsidRPr="00B33450" w:rsidRDefault="007F3BC1" w:rsidP="00B33450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FFFFFF"/>
              <w:jc w:val="both"/>
              <w:rPr>
                <w:b/>
                <w:bCs/>
              </w:rPr>
            </w:pPr>
            <w:r w:rsidRPr="00B33450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B33450">
              <w:rPr>
                <w:b/>
                <w:bCs/>
              </w:rPr>
              <w:t xml:space="preserve"> wynosił </w:t>
            </w:r>
            <w:r w:rsidR="00B41BBB" w:rsidRPr="00B33450">
              <w:rPr>
                <w:b/>
                <w:bCs/>
              </w:rPr>
              <w:t xml:space="preserve">8 </w:t>
            </w:r>
            <w:r w:rsidR="00777DD8" w:rsidRPr="00B33450">
              <w:rPr>
                <w:b/>
                <w:bCs/>
              </w:rPr>
              <w:t>%.</w:t>
            </w:r>
            <w:r w:rsidRPr="00B33450">
              <w:rPr>
                <w:b/>
                <w:bCs/>
              </w:rPr>
              <w:t xml:space="preserve"> </w:t>
            </w:r>
          </w:p>
          <w:p w14:paraId="767260FB" w14:textId="77777777" w:rsidR="007F3BC1" w:rsidRPr="00B33450" w:rsidRDefault="007F3BC1" w:rsidP="00B33450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B33450" w:rsidRDefault="007F3BC1" w:rsidP="00B33450">
            <w:pPr>
              <w:pStyle w:val="Default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3345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B33450" w:rsidRDefault="007F3BC1" w:rsidP="00B33450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31DDD1DF" w14:textId="54B9E102" w:rsidR="007F3BC1" w:rsidRPr="00777DD8" w:rsidRDefault="007F3BC1" w:rsidP="00B33450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B33450">
              <w:rPr>
                <w:b/>
                <w:bCs/>
                <w:iCs/>
              </w:rPr>
              <w:t xml:space="preserve">Zatem kandydat, który zamierza skorzystać z powyższego uprawnienia zobowiązany jest do złożenia wraz </w:t>
            </w:r>
            <w:r w:rsidR="00F60F59" w:rsidRPr="00B33450">
              <w:rPr>
                <w:b/>
                <w:bCs/>
                <w:iCs/>
              </w:rPr>
              <w:br/>
            </w:r>
            <w:r w:rsidRPr="00B33450">
              <w:rPr>
                <w:b/>
                <w:bCs/>
                <w:iCs/>
              </w:rPr>
              <w:t xml:space="preserve">z dokumentami aplikacyjnymi kopii dokumentu potwierdzającego niepełnosprawność. </w:t>
            </w:r>
          </w:p>
        </w:tc>
      </w:tr>
      <w:tr w:rsidR="007F3BC1" w:rsidRPr="000C62A8" w14:paraId="60AE7A4B" w14:textId="77777777" w:rsidTr="00B33450">
        <w:trPr>
          <w:trHeight w:hRule="exact" w:val="470"/>
        </w:trPr>
        <w:tc>
          <w:tcPr>
            <w:tcW w:w="154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038735D" w14:textId="45A78DA2" w:rsidR="007F3BC1" w:rsidRPr="000C62A8" w:rsidRDefault="00682DC3" w:rsidP="00A567D6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 xml:space="preserve">Specjalista ds. </w:t>
            </w:r>
            <w:r w:rsidR="00A567D6">
              <w:rPr>
                <w:b/>
                <w:bCs/>
                <w:color w:val="000000"/>
              </w:rPr>
              <w:t>zamówień publicznych</w:t>
            </w:r>
          </w:p>
        </w:tc>
      </w:tr>
      <w:tr w:rsidR="007F3BC1" w:rsidRPr="000C62A8" w14:paraId="77CE0D5C" w14:textId="77777777" w:rsidTr="00B10A76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411322AF" w:rsidR="007F3BC1" w:rsidRPr="00A567D6" w:rsidRDefault="00B41BBB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82DC3" w:rsidRPr="00A567D6">
              <w:rPr>
                <w:b/>
              </w:rPr>
              <w:t>.0</w:t>
            </w:r>
            <w:r w:rsidR="00A567D6" w:rsidRPr="00A567D6">
              <w:rPr>
                <w:b/>
              </w:rPr>
              <w:t>8</w:t>
            </w:r>
            <w:r w:rsidR="007F3BC1" w:rsidRPr="00A567D6">
              <w:rPr>
                <w:b/>
              </w:rPr>
              <w:t>.202</w:t>
            </w:r>
            <w:r w:rsidR="00A567D6" w:rsidRPr="00A567D6">
              <w:rPr>
                <w:b/>
              </w:rPr>
              <w:t>2</w:t>
            </w:r>
            <w:r w:rsidR="007F3BC1" w:rsidRPr="00A567D6">
              <w:rPr>
                <w:b/>
              </w:rPr>
              <w:t>r.</w:t>
            </w:r>
          </w:p>
        </w:tc>
      </w:tr>
      <w:tr w:rsidR="007F3BC1" w:rsidRPr="000C62A8" w14:paraId="24ED6936" w14:textId="77777777" w:rsidTr="00B10A76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60B91C2E" w:rsidR="007F3BC1" w:rsidRPr="00A567D6" w:rsidRDefault="00B41BBB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567D6" w:rsidRPr="00A567D6">
              <w:rPr>
                <w:b/>
              </w:rPr>
              <w:t>.08.2022</w:t>
            </w:r>
            <w:r w:rsidR="00397488" w:rsidRPr="00A567D6">
              <w:rPr>
                <w:b/>
              </w:rPr>
              <w:t xml:space="preserve">r </w:t>
            </w:r>
            <w:r w:rsidR="00444FAD">
              <w:rPr>
                <w:b/>
              </w:rPr>
              <w:t>—</w:t>
            </w:r>
            <w:r w:rsidR="00397488" w:rsidRPr="00A567D6">
              <w:rPr>
                <w:b/>
              </w:rPr>
              <w:t xml:space="preserve"> </w:t>
            </w:r>
            <w:r w:rsidR="00A567D6" w:rsidRPr="00A567D6">
              <w:rPr>
                <w:b/>
              </w:rPr>
              <w:t>29</w:t>
            </w:r>
            <w:r w:rsidR="00682DC3" w:rsidRPr="00A567D6">
              <w:rPr>
                <w:b/>
              </w:rPr>
              <w:t>.0</w:t>
            </w:r>
            <w:r w:rsidR="00A567D6" w:rsidRPr="00A567D6">
              <w:rPr>
                <w:b/>
              </w:rPr>
              <w:t>8</w:t>
            </w:r>
            <w:r w:rsidR="00B677B5" w:rsidRPr="00A567D6">
              <w:rPr>
                <w:b/>
              </w:rPr>
              <w:t>.</w:t>
            </w:r>
            <w:r w:rsidR="007F3BC1" w:rsidRPr="00A567D6">
              <w:rPr>
                <w:b/>
              </w:rPr>
              <w:t>202</w:t>
            </w:r>
            <w:r w:rsidR="00A567D6" w:rsidRPr="00A567D6">
              <w:rPr>
                <w:b/>
              </w:rPr>
              <w:t>2</w:t>
            </w:r>
            <w:r w:rsidR="005323B9" w:rsidRPr="00A567D6">
              <w:rPr>
                <w:b/>
              </w:rPr>
              <w:t>r.</w:t>
            </w:r>
          </w:p>
        </w:tc>
      </w:tr>
      <w:tr w:rsidR="007F3BC1" w:rsidRPr="000C62A8" w14:paraId="23C5FAE9" w14:textId="77777777" w:rsidTr="00B10A76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02A6108" w14:textId="77777777" w:rsidR="007F3BC1" w:rsidRDefault="007F3BC1" w:rsidP="00C80074">
            <w:pPr>
              <w:shd w:val="clear" w:color="auto" w:fill="FFFFFF"/>
              <w:jc w:val="both"/>
            </w:pPr>
            <w:r w:rsidRPr="00753543">
              <w:t xml:space="preserve">Wyższe magisterskie </w:t>
            </w:r>
          </w:p>
          <w:p w14:paraId="242B14B4" w14:textId="1AFFA386" w:rsidR="00682DC3" w:rsidRPr="006B4B8D" w:rsidRDefault="00682DC3" w:rsidP="00C80074">
            <w:pPr>
              <w:shd w:val="clear" w:color="auto" w:fill="FFFFFF"/>
              <w:jc w:val="both"/>
              <w:rPr>
                <w:highlight w:val="yellow"/>
              </w:rPr>
            </w:pPr>
            <w:r w:rsidRPr="00B55D0E">
              <w:t xml:space="preserve">Preferowane </w:t>
            </w:r>
            <w:r w:rsidR="00444FAD">
              <w:t>—</w:t>
            </w:r>
            <w:r w:rsidRPr="00B55D0E">
              <w:t xml:space="preserve"> </w:t>
            </w:r>
            <w:r w:rsidR="00A567D6" w:rsidRPr="00B55D0E">
              <w:rPr>
                <w:rFonts w:cstheme="minorHAnsi"/>
              </w:rPr>
              <w:t>ekonomiczn</w:t>
            </w:r>
            <w:r w:rsidR="00657F14" w:rsidRPr="00B55D0E">
              <w:rPr>
                <w:rFonts w:cstheme="minorHAnsi"/>
              </w:rPr>
              <w:t>e</w:t>
            </w:r>
            <w:r w:rsidR="00A567D6" w:rsidRPr="00B55D0E">
              <w:rPr>
                <w:rFonts w:cstheme="minorHAnsi"/>
              </w:rPr>
              <w:t>,  społeczn</w:t>
            </w:r>
            <w:r w:rsidR="00657F14" w:rsidRPr="00B55D0E">
              <w:rPr>
                <w:rFonts w:cstheme="minorHAnsi"/>
              </w:rPr>
              <w:t>e</w:t>
            </w:r>
            <w:r w:rsidR="00A567D6" w:rsidRPr="00B55D0E">
              <w:rPr>
                <w:rFonts w:cstheme="minorHAnsi"/>
              </w:rPr>
              <w:t>, inżynieryjno-techniczn</w:t>
            </w:r>
            <w:r w:rsidR="00657F14" w:rsidRPr="00B55D0E">
              <w:rPr>
                <w:rFonts w:cstheme="minorHAnsi"/>
              </w:rPr>
              <w:t>e</w:t>
            </w:r>
          </w:p>
        </w:tc>
      </w:tr>
      <w:tr w:rsidR="00CF3EA7" w:rsidRPr="000C62A8" w14:paraId="67D078CC" w14:textId="77777777" w:rsidTr="00B10A76">
        <w:trPr>
          <w:trHeight w:hRule="exact" w:val="3110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7A56C6CE" w14:textId="77777777" w:rsidR="00A567D6" w:rsidRPr="00D45A54" w:rsidRDefault="00A567D6" w:rsidP="00E800C6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niezbędne:</w:t>
            </w:r>
          </w:p>
          <w:p w14:paraId="541A5961" w14:textId="23A66A44" w:rsidR="00A567D6" w:rsidRPr="00D45A54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 xml:space="preserve">min. dwuletni staż pracy w tym minimum roczny na stanowiskach związanych </w:t>
            </w:r>
            <w:r w:rsidR="00E800C6">
              <w:br/>
            </w:r>
            <w:r w:rsidRPr="00D45A54">
              <w:t>z przeprowadzeniem lub oceną poprawności przeprowadzenia postępowania o udzielenie zamówienia publicznego lub przygotowaniem ofert zgodnie z ustawą PZP,</w:t>
            </w:r>
          </w:p>
          <w:p w14:paraId="11E3D05B" w14:textId="77777777" w:rsidR="00A567D6" w:rsidRPr="00D45A54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 xml:space="preserve">praktyczna znajomość ustawy </w:t>
            </w:r>
            <w:r w:rsidRPr="00D45A54">
              <w:rPr>
                <w:i/>
              </w:rPr>
              <w:t>prawo zamówień publicznych,</w:t>
            </w:r>
          </w:p>
          <w:p w14:paraId="6BBCFF09" w14:textId="77777777" w:rsidR="00A567D6" w:rsidRPr="00D45A54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ogólna znajomość problematyki funduszy pomocowych Unii Europejskiej,</w:t>
            </w:r>
          </w:p>
          <w:p w14:paraId="4C90DD27" w14:textId="4ED00631" w:rsidR="00A567D6" w:rsidRPr="00D45A54" w:rsidRDefault="00F07664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8B6DEF">
              <w:t>orientacja w</w:t>
            </w:r>
            <w:r w:rsidR="00A567D6" w:rsidRPr="008B6DEF">
              <w:t xml:space="preserve"> regulacj</w:t>
            </w:r>
            <w:r w:rsidRPr="008B6DEF">
              <w:t>ach</w:t>
            </w:r>
            <w:r w:rsidR="00A567D6" w:rsidRPr="008B6DEF">
              <w:t xml:space="preserve"> prawnych </w:t>
            </w:r>
            <w:r w:rsidR="00A567D6" w:rsidRPr="00D45A54">
              <w:t>dotyczących funkcjonowania samorządu województwa,</w:t>
            </w:r>
          </w:p>
          <w:p w14:paraId="6C80F5C2" w14:textId="1322FEC4" w:rsidR="00A567D6" w:rsidRPr="00D45A54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lang w:val="en-GB"/>
              </w:rPr>
            </w:pPr>
            <w:r w:rsidRPr="00D45A54">
              <w:t>dobra znajomość obsługi komputera</w:t>
            </w:r>
            <w:r w:rsidRPr="00D45A54">
              <w:rPr>
                <w:lang w:val="en-GB"/>
              </w:rPr>
              <w:t xml:space="preserve"> </w:t>
            </w:r>
            <w:r w:rsidR="00E800C6">
              <w:rPr>
                <w:lang w:val="en-GB"/>
              </w:rPr>
              <w:t>—</w:t>
            </w:r>
            <w:r w:rsidRPr="00D45A54">
              <w:rPr>
                <w:lang w:val="en-GB"/>
              </w:rPr>
              <w:t xml:space="preserve"> MS Office (Word, Excel) </w:t>
            </w:r>
            <w:proofErr w:type="spellStart"/>
            <w:r w:rsidRPr="00D45A54">
              <w:rPr>
                <w:lang w:val="en-GB"/>
              </w:rPr>
              <w:t>oraz</w:t>
            </w:r>
            <w:proofErr w:type="spellEnd"/>
            <w:r w:rsidRPr="00D45A54">
              <w:rPr>
                <w:lang w:val="en-GB"/>
              </w:rPr>
              <w:t xml:space="preserve"> </w:t>
            </w:r>
            <w:proofErr w:type="spellStart"/>
            <w:r w:rsidRPr="00D45A54">
              <w:rPr>
                <w:lang w:val="en-GB"/>
              </w:rPr>
              <w:t>urządzeń</w:t>
            </w:r>
            <w:proofErr w:type="spellEnd"/>
            <w:r w:rsidRPr="00D45A54">
              <w:rPr>
                <w:lang w:val="en-GB"/>
              </w:rPr>
              <w:t xml:space="preserve"> </w:t>
            </w:r>
            <w:proofErr w:type="spellStart"/>
            <w:r w:rsidRPr="00D45A54">
              <w:rPr>
                <w:lang w:val="en-GB"/>
              </w:rPr>
              <w:t>biurowych</w:t>
            </w:r>
            <w:proofErr w:type="spellEnd"/>
            <w:r w:rsidRPr="00D45A54">
              <w:rPr>
                <w:lang w:val="en-GB"/>
              </w:rPr>
              <w:t>,</w:t>
            </w:r>
          </w:p>
          <w:p w14:paraId="2A611674" w14:textId="42476641" w:rsidR="00A567D6" w:rsidRPr="00444FAD" w:rsidRDefault="008B6DEF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444FAD">
              <w:t>niekaralność</w:t>
            </w:r>
            <w:r w:rsidR="00E800C6">
              <w:t>.</w:t>
            </w:r>
            <w:r w:rsidRPr="00444FAD">
              <w:t xml:space="preserve"> </w:t>
            </w:r>
          </w:p>
          <w:p w14:paraId="3C0828FF" w14:textId="77777777" w:rsidR="008B6DEF" w:rsidRDefault="008B6DEF" w:rsidP="00E800C6">
            <w:pPr>
              <w:pStyle w:val="Akapitzlist"/>
              <w:keepNext/>
              <w:widowControl/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ind w:left="717"/>
              <w:jc w:val="both"/>
              <w:outlineLvl w:val="1"/>
              <w:rPr>
                <w:b/>
                <w:noProof/>
                <w:spacing w:val="-7"/>
              </w:rPr>
            </w:pPr>
          </w:p>
          <w:p w14:paraId="4C93C472" w14:textId="77777777" w:rsidR="00A567D6" w:rsidRPr="00D45A54" w:rsidRDefault="00A567D6" w:rsidP="00E800C6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dodatkowe:</w:t>
            </w:r>
          </w:p>
          <w:p w14:paraId="68BAA0A0" w14:textId="477DB150" w:rsidR="00A567D6" w:rsidRPr="00D45A54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szkolenia/studia podyplomowe z prawa zamówień publicznych,</w:t>
            </w:r>
          </w:p>
          <w:p w14:paraId="0733BCF0" w14:textId="29FBAD83" w:rsidR="00CF3EA7" w:rsidRPr="008B6DEF" w:rsidRDefault="00A567D6" w:rsidP="00E800C6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komunikatywność, samodzielność, umiejętność pracy w zespole.</w:t>
            </w:r>
          </w:p>
        </w:tc>
      </w:tr>
      <w:tr w:rsidR="007F3BC1" w:rsidRPr="000C62A8" w14:paraId="7ADE0FC3" w14:textId="77777777" w:rsidTr="00B10A76">
        <w:trPr>
          <w:trHeight w:hRule="exact" w:val="2855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1C845176" w14:textId="463D7A8E" w:rsidR="00A567D6" w:rsidRDefault="009212C0" w:rsidP="009212C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jc w:val="both"/>
              <w:rPr>
                <w:rFonts w:cstheme="minorHAnsi"/>
                <w:color w:val="000000"/>
                <w:spacing w:val="-2"/>
                <w:szCs w:val="24"/>
              </w:rPr>
            </w:pPr>
            <w:r>
              <w:rPr>
                <w:rFonts w:cstheme="minorHAnsi"/>
                <w:color w:val="000000"/>
                <w:spacing w:val="-2"/>
                <w:szCs w:val="24"/>
              </w:rPr>
              <w:t>S</w:t>
            </w:r>
            <w:r w:rsidR="00A567D6">
              <w:rPr>
                <w:rFonts w:cstheme="minorHAnsi"/>
                <w:color w:val="000000"/>
                <w:spacing w:val="-2"/>
                <w:szCs w:val="24"/>
              </w:rPr>
              <w:t xml:space="preserve">prawdzanie poprawności przeprowadzenia przez beneficjentów postępowań o udzielenie zamówienia publicznego w zakresie robót, dostaw i usług pod kątem zgodności z ustawą Prawo zamówień publicznych (zgodnie z obowiązującymi i właściwymi dla danego Programu przepisami i procedurami, w tym ustalanie wysokości korekt finansowych za naruszenia w tym zakresie oraz rozpatrywanie </w:t>
            </w:r>
            <w:proofErr w:type="spellStart"/>
            <w:r w:rsidR="00A567D6">
              <w:rPr>
                <w:rFonts w:cstheme="minorHAnsi"/>
                <w:color w:val="000000"/>
                <w:spacing w:val="-2"/>
                <w:szCs w:val="24"/>
              </w:rPr>
              <w:t>odwołań</w:t>
            </w:r>
            <w:proofErr w:type="spellEnd"/>
            <w:r w:rsidR="00A567D6">
              <w:rPr>
                <w:rFonts w:cstheme="minorHAnsi"/>
                <w:color w:val="000000"/>
                <w:spacing w:val="-2"/>
                <w:szCs w:val="24"/>
              </w:rPr>
              <w:t xml:space="preserve"> od dokonanej oceny)</w:t>
            </w:r>
            <w:r>
              <w:rPr>
                <w:rFonts w:cstheme="minorHAnsi"/>
                <w:color w:val="000000"/>
                <w:spacing w:val="-2"/>
                <w:szCs w:val="24"/>
              </w:rPr>
              <w:t>.</w:t>
            </w:r>
          </w:p>
          <w:p w14:paraId="1B35D591" w14:textId="14D18484" w:rsidR="00A567D6" w:rsidRDefault="009212C0" w:rsidP="009212C0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jc w:val="both"/>
              <w:rPr>
                <w:rFonts w:cstheme="minorHAnsi"/>
                <w:color w:val="000000"/>
                <w:spacing w:val="-2"/>
                <w:szCs w:val="24"/>
              </w:rPr>
            </w:pPr>
            <w:r>
              <w:rPr>
                <w:rFonts w:cstheme="minorHAnsi"/>
                <w:color w:val="000000"/>
                <w:spacing w:val="-2"/>
                <w:szCs w:val="24"/>
              </w:rPr>
              <w:t>O</w:t>
            </w:r>
            <w:r w:rsidR="00A567D6">
              <w:rPr>
                <w:rFonts w:cstheme="minorHAnsi"/>
                <w:color w:val="000000"/>
                <w:spacing w:val="-2"/>
                <w:szCs w:val="24"/>
              </w:rPr>
              <w:t xml:space="preserve">cena poprawności przeprowadzenia przez beneficjentów wyboru wykonawców robót/dostawców usług pod kątem zgodności z obowiązującymi dla danego Programu zasadami konkurencyjności </w:t>
            </w:r>
            <w:r w:rsidR="00966880">
              <w:rPr>
                <w:rFonts w:cstheme="minorHAnsi"/>
                <w:color w:val="000000"/>
                <w:spacing w:val="-2"/>
                <w:szCs w:val="24"/>
              </w:rPr>
              <w:br/>
            </w:r>
            <w:r w:rsidR="00A567D6">
              <w:rPr>
                <w:rFonts w:cstheme="minorHAnsi"/>
                <w:color w:val="000000"/>
                <w:spacing w:val="-2"/>
                <w:szCs w:val="24"/>
              </w:rPr>
              <w:t xml:space="preserve">i procedurami, w tym ustalanie wysokości korekt finansowych za naruszenia </w:t>
            </w:r>
            <w:r w:rsidR="00966880">
              <w:rPr>
                <w:rFonts w:cstheme="minorHAnsi"/>
                <w:color w:val="000000"/>
                <w:spacing w:val="-2"/>
                <w:szCs w:val="24"/>
              </w:rPr>
              <w:br/>
            </w:r>
            <w:r w:rsidR="00A567D6">
              <w:rPr>
                <w:rFonts w:cstheme="minorHAnsi"/>
                <w:color w:val="000000"/>
                <w:spacing w:val="-2"/>
                <w:szCs w:val="24"/>
              </w:rPr>
              <w:t>w tym zakresie</w:t>
            </w:r>
            <w:r>
              <w:rPr>
                <w:rFonts w:cstheme="minorHAnsi"/>
                <w:color w:val="000000"/>
                <w:spacing w:val="-2"/>
                <w:szCs w:val="24"/>
              </w:rPr>
              <w:t>.</w:t>
            </w:r>
          </w:p>
          <w:p w14:paraId="09CF9043" w14:textId="4DCCC1DA" w:rsidR="00660283" w:rsidRPr="000C62A8" w:rsidRDefault="009212C0" w:rsidP="009212C0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rPr>
                <w:rFonts w:cstheme="minorHAnsi"/>
                <w:color w:val="000000"/>
                <w:spacing w:val="-2"/>
                <w:szCs w:val="24"/>
              </w:rPr>
              <w:t>I</w:t>
            </w:r>
            <w:r w:rsidR="00A567D6">
              <w:rPr>
                <w:rFonts w:cstheme="minorHAnsi"/>
                <w:color w:val="000000"/>
                <w:spacing w:val="-2"/>
                <w:szCs w:val="24"/>
              </w:rPr>
              <w:t>nformowanie/raportowanie o nieprawidłowościach do właściwych instytucji, rejestrowanie danych w odpowiednich systemach informacyjnych.</w:t>
            </w:r>
          </w:p>
        </w:tc>
      </w:tr>
      <w:tr w:rsidR="007F3BC1" w:rsidRPr="000C62A8" w14:paraId="75825E9F" w14:textId="77777777" w:rsidTr="00B10A76">
        <w:trPr>
          <w:trHeight w:hRule="exact" w:val="1153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lastRenderedPageBreak/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32D50B31" w:rsidR="007F3BC1" w:rsidRPr="001C33A6" w:rsidRDefault="007F3BC1" w:rsidP="00966880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1.Praca administracyjno</w:t>
            </w:r>
            <w:r w:rsidR="00F60F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668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  <w:r w:rsidR="003468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Biuro Programów Rozwoju Obszarów Wiejskich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465B8222" w:rsidR="007F3BC1" w:rsidRPr="001C33A6" w:rsidRDefault="007F3BC1" w:rsidP="00966880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E85070F" w14:textId="3F9C3D33" w:rsidR="007F3BC1" w:rsidRPr="001C33A6" w:rsidRDefault="007F3BC1" w:rsidP="00966880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506CB5AC" w14:textId="43CC21D7" w:rsidR="00660283" w:rsidRPr="00444FAD" w:rsidRDefault="00A567D6" w:rsidP="00966880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 XI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</w:t>
            </w:r>
            <w:r w:rsidR="007F3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</w:tc>
      </w:tr>
      <w:tr w:rsidR="007F3BC1" w:rsidRPr="000C62A8" w14:paraId="28C6E543" w14:textId="77777777" w:rsidTr="00B10A76">
        <w:trPr>
          <w:trHeight w:hRule="exact" w:val="3256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A567D6" w:rsidRDefault="007F3BC1" w:rsidP="00966880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729FC597" w14:textId="029083DE" w:rsidR="00A567D6" w:rsidRDefault="00A567D6" w:rsidP="00966880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875DBF">
              <w:rPr>
                <w:rFonts w:cstheme="minorHAnsi"/>
              </w:rPr>
              <w:t>serokopia zaświadczeń o ukończonych kursach, szkoleniach</w:t>
            </w:r>
            <w:r w:rsidR="00F60F59">
              <w:rPr>
                <w:rFonts w:cstheme="minorHAnsi"/>
              </w:rPr>
              <w:t>.</w:t>
            </w:r>
          </w:p>
          <w:p w14:paraId="227572AA" w14:textId="77777777" w:rsidR="007F3BC1" w:rsidRPr="000C62A8" w:rsidRDefault="007F3BC1" w:rsidP="00966880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966880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966880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966880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966880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96688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7F5CDE3E" w14:textId="56B5810E" w:rsidR="007F3BC1" w:rsidRPr="000C62A8" w:rsidRDefault="007F3BC1" w:rsidP="00966880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</w:tc>
      </w:tr>
      <w:tr w:rsidR="007F3BC1" w:rsidRPr="000C62A8" w14:paraId="6A57553D" w14:textId="77777777" w:rsidTr="00B10A76">
        <w:trPr>
          <w:trHeight w:hRule="exact" w:val="726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966880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966880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B10A76">
        <w:trPr>
          <w:trHeight w:hRule="exact" w:val="707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966880">
            <w:pPr>
              <w:shd w:val="clear" w:color="auto" w:fill="FFFFFF"/>
              <w:spacing w:line="230" w:lineRule="exact"/>
              <w:ind w:right="144"/>
              <w:jc w:val="both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444FAD">
      <w:pgSz w:w="11899" w:h="16838"/>
      <w:pgMar w:top="1985" w:right="1021" w:bottom="1021" w:left="102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E2201"/>
    <w:multiLevelType w:val="hybridMultilevel"/>
    <w:tmpl w:val="5DC6F668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1C56"/>
    <w:multiLevelType w:val="hybridMultilevel"/>
    <w:tmpl w:val="6D886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494"/>
    <w:multiLevelType w:val="hybridMultilevel"/>
    <w:tmpl w:val="E320D2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E5509"/>
    <w:multiLevelType w:val="hybridMultilevel"/>
    <w:tmpl w:val="EF20237A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489C"/>
    <w:multiLevelType w:val="hybridMultilevel"/>
    <w:tmpl w:val="97E60058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C55F3D"/>
    <w:multiLevelType w:val="hybridMultilevel"/>
    <w:tmpl w:val="DD5C9D2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D36"/>
    <w:multiLevelType w:val="hybridMultilevel"/>
    <w:tmpl w:val="CEB47D9A"/>
    <w:lvl w:ilvl="0" w:tplc="12D85A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1839553">
    <w:abstractNumId w:val="5"/>
  </w:num>
  <w:num w:numId="2" w16cid:durableId="1077479521">
    <w:abstractNumId w:val="10"/>
  </w:num>
  <w:num w:numId="3" w16cid:durableId="58135685">
    <w:abstractNumId w:val="0"/>
  </w:num>
  <w:num w:numId="4" w16cid:durableId="2095348688">
    <w:abstractNumId w:val="12"/>
  </w:num>
  <w:num w:numId="5" w16cid:durableId="1232812708">
    <w:abstractNumId w:val="1"/>
  </w:num>
  <w:num w:numId="6" w16cid:durableId="1406223877">
    <w:abstractNumId w:val="11"/>
  </w:num>
  <w:num w:numId="7" w16cid:durableId="294532478">
    <w:abstractNumId w:val="2"/>
  </w:num>
  <w:num w:numId="8" w16cid:durableId="306712555">
    <w:abstractNumId w:val="14"/>
  </w:num>
  <w:num w:numId="9" w16cid:durableId="457338270">
    <w:abstractNumId w:val="9"/>
  </w:num>
  <w:num w:numId="10" w16cid:durableId="272639218">
    <w:abstractNumId w:val="13"/>
  </w:num>
  <w:num w:numId="11" w16cid:durableId="515578495">
    <w:abstractNumId w:val="7"/>
  </w:num>
  <w:num w:numId="12" w16cid:durableId="995106176">
    <w:abstractNumId w:val="6"/>
  </w:num>
  <w:num w:numId="13" w16cid:durableId="234898837">
    <w:abstractNumId w:val="3"/>
  </w:num>
  <w:num w:numId="14" w16cid:durableId="658658990">
    <w:abstractNumId w:val="4"/>
  </w:num>
  <w:num w:numId="15" w16cid:durableId="1449273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1"/>
    <w:rsid w:val="0002570C"/>
    <w:rsid w:val="000F124D"/>
    <w:rsid w:val="00184D2F"/>
    <w:rsid w:val="001A7E19"/>
    <w:rsid w:val="001B1DF6"/>
    <w:rsid w:val="001E0061"/>
    <w:rsid w:val="00203F2E"/>
    <w:rsid w:val="0025082F"/>
    <w:rsid w:val="002A008A"/>
    <w:rsid w:val="00306F5F"/>
    <w:rsid w:val="0034680A"/>
    <w:rsid w:val="00364CB1"/>
    <w:rsid w:val="00397488"/>
    <w:rsid w:val="00415854"/>
    <w:rsid w:val="00422FC8"/>
    <w:rsid w:val="00444FAD"/>
    <w:rsid w:val="004A1EDB"/>
    <w:rsid w:val="004E12EE"/>
    <w:rsid w:val="005323B9"/>
    <w:rsid w:val="005B018E"/>
    <w:rsid w:val="00657F14"/>
    <w:rsid w:val="00660283"/>
    <w:rsid w:val="00682DC3"/>
    <w:rsid w:val="00693BBB"/>
    <w:rsid w:val="006B1AEE"/>
    <w:rsid w:val="006D6FB4"/>
    <w:rsid w:val="007116B3"/>
    <w:rsid w:val="00752FE4"/>
    <w:rsid w:val="00753543"/>
    <w:rsid w:val="00777DD8"/>
    <w:rsid w:val="007B1713"/>
    <w:rsid w:val="007C3391"/>
    <w:rsid w:val="007F1B24"/>
    <w:rsid w:val="007F3BC1"/>
    <w:rsid w:val="008023B2"/>
    <w:rsid w:val="008344AB"/>
    <w:rsid w:val="008B6DEF"/>
    <w:rsid w:val="008B7DDD"/>
    <w:rsid w:val="009212C0"/>
    <w:rsid w:val="0095639D"/>
    <w:rsid w:val="00966880"/>
    <w:rsid w:val="00A1509F"/>
    <w:rsid w:val="00A567D6"/>
    <w:rsid w:val="00A6573A"/>
    <w:rsid w:val="00A90A1C"/>
    <w:rsid w:val="00AB14F8"/>
    <w:rsid w:val="00B10A76"/>
    <w:rsid w:val="00B33450"/>
    <w:rsid w:val="00B41BBB"/>
    <w:rsid w:val="00B45510"/>
    <w:rsid w:val="00B55D0E"/>
    <w:rsid w:val="00B677B5"/>
    <w:rsid w:val="00C3031A"/>
    <w:rsid w:val="00C353C0"/>
    <w:rsid w:val="00C67475"/>
    <w:rsid w:val="00C735B4"/>
    <w:rsid w:val="00CA540C"/>
    <w:rsid w:val="00CF3EA7"/>
    <w:rsid w:val="00D00EFA"/>
    <w:rsid w:val="00D45A54"/>
    <w:rsid w:val="00DC3A98"/>
    <w:rsid w:val="00DD18F9"/>
    <w:rsid w:val="00DD357C"/>
    <w:rsid w:val="00E15A5F"/>
    <w:rsid w:val="00E1786E"/>
    <w:rsid w:val="00E41EE7"/>
    <w:rsid w:val="00E576EC"/>
    <w:rsid w:val="00E800C6"/>
    <w:rsid w:val="00EC3681"/>
    <w:rsid w:val="00F07664"/>
    <w:rsid w:val="00F60F59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C942-2B23-4468-9471-7682F3A2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Aneta Dudzic</cp:lastModifiedBy>
  <cp:revision>2</cp:revision>
  <cp:lastPrinted>2021-07-29T12:37:00Z</cp:lastPrinted>
  <dcterms:created xsi:type="dcterms:W3CDTF">2022-08-12T06:25:00Z</dcterms:created>
  <dcterms:modified xsi:type="dcterms:W3CDTF">2022-08-12T06:25:00Z</dcterms:modified>
</cp:coreProperties>
</file>