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2D" w:rsidRDefault="003074D5" w:rsidP="00063007">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0044097A">
        <w:rPr>
          <w:rFonts w:eastAsia="Times New Roman" w:cstheme="minorHAnsi"/>
          <w:sz w:val="24"/>
          <w:szCs w:val="24"/>
          <w:lang w:eastAsia="pl-PL"/>
        </w:rPr>
        <w:t xml:space="preserve">r </w:t>
      </w:r>
      <w:r w:rsidR="00C95710">
        <w:rPr>
          <w:rFonts w:eastAsia="Times New Roman" w:cstheme="minorHAnsi"/>
          <w:sz w:val="24"/>
          <w:szCs w:val="24"/>
          <w:lang w:eastAsia="pl-PL"/>
        </w:rPr>
        <w:t>8</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rsidR="00063007" w:rsidRPr="00063007" w:rsidRDefault="00063007" w:rsidP="00063007">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Pr="00063007">
        <w:rPr>
          <w:rFonts w:eastAsia="Times New Roman" w:cstheme="minorHAnsi"/>
          <w:sz w:val="18"/>
          <w:szCs w:val="18"/>
          <w:lang w:eastAsia="pl-PL"/>
        </w:rPr>
        <w:t>składany wraz z ofertą jeżeli dotyczy</w:t>
      </w:r>
      <w:r>
        <w:rPr>
          <w:rFonts w:eastAsia="Times New Roman" w:cstheme="minorHAnsi"/>
          <w:sz w:val="18"/>
          <w:szCs w:val="18"/>
          <w:lang w:eastAsia="pl-PL"/>
        </w:rPr>
        <w:t>)</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rsidR="00F4052D" w:rsidRPr="003074D5" w:rsidRDefault="00F4052D" w:rsidP="00F4052D">
      <w:pPr>
        <w:spacing w:after="0" w:line="240" w:lineRule="auto"/>
        <w:jc w:val="center"/>
        <w:rPr>
          <w:rFonts w:eastAsia="Times New Roman" w:cstheme="minorHAnsi"/>
          <w:b/>
          <w:sz w:val="24"/>
          <w:szCs w:val="24"/>
          <w:lang w:eastAsia="pl-PL"/>
        </w:rPr>
      </w:pPr>
    </w:p>
    <w:p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rsidR="003909D6" w:rsidRDefault="003909D6" w:rsidP="00F4052D">
      <w:pPr>
        <w:spacing w:after="0" w:line="240" w:lineRule="auto"/>
        <w:jc w:val="both"/>
        <w:rPr>
          <w:rFonts w:eastAsia="Times New Roman" w:cstheme="minorHAnsi"/>
          <w:sz w:val="24"/>
          <w:szCs w:val="24"/>
          <w:lang w:eastAsia="pl-PL"/>
        </w:rPr>
      </w:pPr>
    </w:p>
    <w:p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t>
      </w:r>
      <w:bookmarkStart w:id="0" w:name="_GoBack"/>
      <w:bookmarkEnd w:id="0"/>
      <w:r w:rsidRPr="003074D5">
        <w:rPr>
          <w:rFonts w:eastAsia="Times New Roman" w:cstheme="minorHAnsi"/>
          <w:sz w:val="24"/>
          <w:szCs w:val="24"/>
          <w:lang w:eastAsia="pl-PL"/>
        </w:rPr>
        <w:t>wisko składającego oświadczenie</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rsidR="00F4052D" w:rsidRPr="003074D5" w:rsidRDefault="00F4052D" w:rsidP="00F4052D">
      <w:pPr>
        <w:spacing w:after="0" w:line="240" w:lineRule="auto"/>
        <w:jc w:val="center"/>
        <w:rPr>
          <w:rFonts w:eastAsia="Times New Roman" w:cstheme="minorHAnsi"/>
          <w:b/>
          <w:color w:val="000000"/>
          <w:sz w:val="24"/>
          <w:szCs w:val="24"/>
          <w:lang w:eastAsia="pl-PL"/>
        </w:rPr>
      </w:pPr>
    </w:p>
    <w:p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(t.j.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9 z późn. zm.), udostępni</w:t>
      </w:r>
      <w:r w:rsidRPr="003074D5">
        <w:rPr>
          <w:rFonts w:eastAsia="Times New Roman" w:cstheme="minorHAnsi"/>
          <w:sz w:val="24"/>
          <w:szCs w:val="24"/>
          <w:lang w:eastAsia="pl-PL"/>
        </w:rPr>
        <w:t xml:space="preserve"> Wykonawcy</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rsidR="00F4052D" w:rsidRPr="003074D5" w:rsidRDefault="00F4052D" w:rsidP="00F4052D">
      <w:pPr>
        <w:spacing w:after="0" w:line="240" w:lineRule="auto"/>
        <w:rPr>
          <w:rFonts w:eastAsia="Times New Roman" w:cstheme="minorHAnsi"/>
          <w:sz w:val="24"/>
          <w:szCs w:val="24"/>
          <w:lang w:eastAsia="pl-PL"/>
        </w:rPr>
      </w:pPr>
    </w:p>
    <w:p w:rsidR="00F4052D" w:rsidRPr="00185402" w:rsidRDefault="00F4052D" w:rsidP="00E0028B">
      <w:pPr>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C95710">
        <w:rPr>
          <w:rFonts w:cstheme="minorHAnsi"/>
          <w:b/>
        </w:rPr>
        <w:t>„</w:t>
      </w:r>
      <w:r w:rsidR="00D4381F" w:rsidRPr="0083097F">
        <w:rPr>
          <w:rFonts w:cstheme="minorHAnsi"/>
          <w:b/>
        </w:rPr>
        <w:t xml:space="preserve">Dostawa </w:t>
      </w:r>
      <w:r w:rsidR="00D4381F">
        <w:rPr>
          <w:rFonts w:cstheme="minorHAnsi"/>
          <w:b/>
        </w:rPr>
        <w:t>dwugenowych testów PCR do identyfikacji RNA wirusa SARS-CoV-2 oraz zestawów do izolacji RNA wirusa SARS CoV-2 z wykorzystaniem systemu do izolacji wysokoprzepustowej Biocomma M96 w ramach realizacji projektu „Stop wirusowi! Zapobieganie rozprzestrzeniania się COVID-19 w Województwie Świętokrzyskim”</w:t>
      </w:r>
      <w:r w:rsidR="00E53C91" w:rsidRPr="00C2248E">
        <w:rPr>
          <w:rFonts w:cstheme="minorHAnsi"/>
          <w:b/>
        </w:rPr>
        <w:t>”</w:t>
      </w:r>
      <w:r w:rsidR="00E0028B">
        <w:rPr>
          <w:rFonts w:cstheme="minorHAnsi"/>
          <w:b/>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lastRenderedPageBreak/>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sytuacji ekonomicznej lub finansowej</w:t>
      </w:r>
    </w:p>
    <w:p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spacing w:after="0" w:line="240" w:lineRule="auto"/>
        <w:jc w:val="both"/>
        <w:rPr>
          <w:rFonts w:eastAsia="Times New Roman" w:cstheme="minorHAnsi"/>
          <w:sz w:val="24"/>
          <w:szCs w:val="24"/>
          <w:lang w:eastAsia="pl-PL"/>
        </w:rPr>
      </w:pP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(popis osoby uprawnionej do składania oświadczeń woli</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w imieniu podmiotu oddającego do dyspozycji zasoby)</w:t>
      </w: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B6184A">
      <w:pPr>
        <w:spacing w:after="0"/>
        <w:jc w:val="both"/>
        <w:rPr>
          <w:rFonts w:cstheme="minorHAnsi"/>
          <w:i/>
          <w:sz w:val="20"/>
          <w:szCs w:val="20"/>
        </w:rPr>
      </w:pPr>
      <w:r>
        <w:rPr>
          <w:rFonts w:cstheme="minorHAnsi"/>
          <w:i/>
          <w:sz w:val="20"/>
          <w:szCs w:val="20"/>
        </w:rPr>
        <w:t>Dokument musi być podpisany kwalifikowanym podpisem elektronicznym lub</w:t>
      </w:r>
    </w:p>
    <w:p w:rsidR="00B6184A" w:rsidRDefault="00B6184A" w:rsidP="00B6184A">
      <w:pPr>
        <w:spacing w:after="0"/>
        <w:jc w:val="both"/>
        <w:rPr>
          <w:rFonts w:cstheme="minorHAnsi"/>
          <w:i/>
          <w:sz w:val="20"/>
          <w:szCs w:val="20"/>
        </w:rPr>
      </w:pPr>
      <w:r>
        <w:rPr>
          <w:rFonts w:cstheme="minorHAnsi"/>
          <w:i/>
          <w:sz w:val="20"/>
          <w:szCs w:val="20"/>
        </w:rPr>
        <w:t xml:space="preserve"> Podpisem zaufanym lub elektronicznym podpisem osobistym</w:t>
      </w:r>
    </w:p>
    <w:p w:rsidR="00E52C7B" w:rsidRPr="003074D5" w:rsidRDefault="00E52C7B" w:rsidP="00F4052D">
      <w:pPr>
        <w:spacing w:after="0" w:line="240" w:lineRule="auto"/>
        <w:jc w:val="right"/>
        <w:rPr>
          <w:rFonts w:eastAsia="Times New Roman" w:cstheme="minorHAnsi"/>
          <w:sz w:val="24"/>
          <w:szCs w:val="24"/>
          <w:lang w:eastAsia="pl-PL"/>
        </w:rPr>
      </w:pPr>
    </w:p>
    <w:sectPr w:rsidR="00E52C7B"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99" w:rsidRDefault="004F7999" w:rsidP="00A44C5E">
      <w:pPr>
        <w:spacing w:after="0" w:line="240" w:lineRule="auto"/>
      </w:pPr>
      <w:r>
        <w:separator/>
      </w:r>
    </w:p>
  </w:endnote>
  <w:endnote w:type="continuationSeparator" w:id="0">
    <w:p w:rsidR="004F7999" w:rsidRDefault="004F7999"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263044"/>
      <w:docPartObj>
        <w:docPartGallery w:val="Page Numbers (Bottom of Page)"/>
        <w:docPartUnique/>
      </w:docPartObj>
    </w:sdtPr>
    <w:sdtEndPr>
      <w:rPr>
        <w:rFonts w:ascii="Times New Roman" w:hAnsi="Times New Roman" w:cs="Times New Roman"/>
      </w:rPr>
    </w:sdtEndPr>
    <w:sdtContent>
      <w:p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D4381F">
          <w:rPr>
            <w:rFonts w:ascii="Times New Roman" w:hAnsi="Times New Roman" w:cs="Times New Roman"/>
            <w:noProof/>
          </w:rPr>
          <w:t>1</w:t>
        </w:r>
        <w:r w:rsidRPr="00CF78C7">
          <w:rPr>
            <w:rFonts w:ascii="Times New Roman" w:hAnsi="Times New Roman" w:cs="Times New Roman"/>
          </w:rPr>
          <w:fldChar w:fldCharType="end"/>
        </w:r>
      </w:p>
    </w:sdtContent>
  </w:sdt>
  <w:p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99" w:rsidRDefault="004F7999" w:rsidP="00A44C5E">
      <w:pPr>
        <w:spacing w:after="0" w:line="240" w:lineRule="auto"/>
      </w:pPr>
      <w:r>
        <w:separator/>
      </w:r>
    </w:p>
  </w:footnote>
  <w:footnote w:type="continuationSeparator" w:id="0">
    <w:p w:rsidR="004F7999" w:rsidRDefault="004F7999" w:rsidP="00A44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81F" w:rsidRPr="00E66630" w:rsidRDefault="00D4381F" w:rsidP="00D4381F">
    <w:pPr>
      <w:pStyle w:val="Nagwek"/>
    </w:pPr>
    <w:r w:rsidRPr="00250489">
      <w:rPr>
        <w:noProof/>
      </w:rPr>
      <w:drawing>
        <wp:inline distT="0" distB="0" distL="0" distR="0" wp14:anchorId="3668242A" wp14:editId="54401DBF">
          <wp:extent cx="5760720" cy="523240"/>
          <wp:effectExtent l="0" t="0" r="0" b="0"/>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3240"/>
                  </a:xfrm>
                  <a:prstGeom prst="rect">
                    <a:avLst/>
                  </a:prstGeom>
                  <a:noFill/>
                  <a:ln>
                    <a:noFill/>
                  </a:ln>
                </pic:spPr>
              </pic:pic>
            </a:graphicData>
          </a:graphic>
        </wp:inline>
      </w:drawing>
    </w:r>
  </w:p>
  <w:p w:rsidR="00D4381F" w:rsidRPr="00D4381F" w:rsidRDefault="00D4381F" w:rsidP="00D4381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3007"/>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4097A"/>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64A6C"/>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57FF"/>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184A"/>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5710"/>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4381F"/>
    <w:rsid w:val="00D53A75"/>
    <w:rsid w:val="00D66974"/>
    <w:rsid w:val="00D66E36"/>
    <w:rsid w:val="00D87FA9"/>
    <w:rsid w:val="00D90B11"/>
    <w:rsid w:val="00D92AAA"/>
    <w:rsid w:val="00DD4410"/>
    <w:rsid w:val="00DF08B2"/>
    <w:rsid w:val="00DF46FE"/>
    <w:rsid w:val="00DF7E4E"/>
    <w:rsid w:val="00E0028B"/>
    <w:rsid w:val="00E04AA4"/>
    <w:rsid w:val="00E07C6B"/>
    <w:rsid w:val="00E12490"/>
    <w:rsid w:val="00E35182"/>
    <w:rsid w:val="00E4098B"/>
    <w:rsid w:val="00E424D5"/>
    <w:rsid w:val="00E43012"/>
    <w:rsid w:val="00E52C7B"/>
    <w:rsid w:val="00E53C91"/>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EE2B5-2274-443A-B405-21E0A1EA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3796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Łukasz Mańkowski</cp:lastModifiedBy>
  <cp:revision>2</cp:revision>
  <cp:lastPrinted>2022-02-10T07:43:00Z</cp:lastPrinted>
  <dcterms:created xsi:type="dcterms:W3CDTF">2022-04-01T07:13:00Z</dcterms:created>
  <dcterms:modified xsi:type="dcterms:W3CDTF">2022-04-01T07:13:00Z</dcterms:modified>
</cp:coreProperties>
</file>