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4033"/>
      </w:tblGrid>
      <w:tr w:rsidR="002B13A4" w:rsidRPr="002B13A4" w:rsidTr="008129FD">
        <w:trPr>
          <w:trHeight w:val="172"/>
        </w:trPr>
        <w:tc>
          <w:tcPr>
            <w:tcW w:w="5217" w:type="dxa"/>
          </w:tcPr>
          <w:p w:rsidR="00090730" w:rsidRPr="002B13A4" w:rsidRDefault="009D7952" w:rsidP="008129FD">
            <w:pPr>
              <w:spacing w:line="276" w:lineRule="auto"/>
              <w:rPr>
                <w:rFonts w:ascii="Garamond" w:hAnsi="Garamond"/>
              </w:rPr>
            </w:pPr>
            <w:bookmarkStart w:id="0" w:name="_GoBack"/>
            <w:bookmarkEnd w:id="0"/>
            <w:r w:rsidRPr="002B13A4">
              <w:rPr>
                <w:rFonts w:ascii="Garamond" w:hAnsi="Garamond"/>
              </w:rPr>
              <w:t>WOO-III</w:t>
            </w:r>
            <w:r w:rsidR="00090730" w:rsidRPr="002B13A4">
              <w:rPr>
                <w:rFonts w:ascii="Garamond" w:hAnsi="Garamond"/>
              </w:rPr>
              <w:t>.411.</w:t>
            </w:r>
            <w:r w:rsidR="004A0601">
              <w:rPr>
                <w:rFonts w:ascii="Garamond" w:hAnsi="Garamond"/>
              </w:rPr>
              <w:t>7</w:t>
            </w:r>
            <w:r w:rsidR="00090730" w:rsidRPr="002B13A4">
              <w:rPr>
                <w:rFonts w:ascii="Garamond" w:hAnsi="Garamond"/>
              </w:rPr>
              <w:t>.202</w:t>
            </w:r>
            <w:r w:rsidR="00335435" w:rsidRPr="002B13A4">
              <w:rPr>
                <w:rFonts w:ascii="Garamond" w:hAnsi="Garamond"/>
              </w:rPr>
              <w:t>1</w:t>
            </w:r>
            <w:r w:rsidR="00090730" w:rsidRPr="002B13A4">
              <w:rPr>
                <w:rFonts w:ascii="Garamond" w:hAnsi="Garamond"/>
              </w:rPr>
              <w:t>.</w:t>
            </w:r>
            <w:r w:rsidR="00335435" w:rsidRPr="002B13A4">
              <w:rPr>
                <w:rFonts w:ascii="Garamond" w:hAnsi="Garamond"/>
              </w:rPr>
              <w:t>MK</w:t>
            </w:r>
          </w:p>
          <w:p w:rsidR="00090730" w:rsidRDefault="00090730" w:rsidP="008129FD">
            <w:pPr>
              <w:spacing w:line="276" w:lineRule="auto"/>
              <w:rPr>
                <w:rFonts w:ascii="Garamond" w:hAnsi="Garamond"/>
              </w:rPr>
            </w:pPr>
          </w:p>
          <w:p w:rsidR="00906253" w:rsidRDefault="00906253" w:rsidP="008129FD">
            <w:pPr>
              <w:spacing w:line="276" w:lineRule="auto"/>
              <w:rPr>
                <w:rFonts w:ascii="Garamond" w:hAnsi="Garamond"/>
              </w:rPr>
            </w:pPr>
          </w:p>
          <w:p w:rsidR="009A794A" w:rsidRDefault="009A794A" w:rsidP="008129FD">
            <w:pPr>
              <w:spacing w:line="276" w:lineRule="auto"/>
              <w:rPr>
                <w:rFonts w:ascii="Garamond" w:hAnsi="Garamond"/>
              </w:rPr>
            </w:pPr>
          </w:p>
          <w:p w:rsidR="00536C09" w:rsidRPr="002B13A4" w:rsidRDefault="00536C09" w:rsidP="008129F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033" w:type="dxa"/>
          </w:tcPr>
          <w:p w:rsidR="00090730" w:rsidRPr="002B13A4" w:rsidRDefault="001651E8" w:rsidP="00D521D5">
            <w:pPr>
              <w:spacing w:line="276" w:lineRule="auto"/>
              <w:jc w:val="right"/>
              <w:rPr>
                <w:rFonts w:ascii="Garamond" w:hAnsi="Garamond"/>
              </w:rPr>
            </w:pPr>
            <w:r w:rsidRPr="002B13A4">
              <w:rPr>
                <w:rFonts w:ascii="Garamond" w:hAnsi="Garamond"/>
              </w:rPr>
              <w:t>Kielce,</w:t>
            </w:r>
            <w:r w:rsidR="00335435" w:rsidRPr="002B13A4">
              <w:rPr>
                <w:rFonts w:ascii="Garamond" w:hAnsi="Garamond"/>
              </w:rPr>
              <w:t xml:space="preserve"> dnia</w:t>
            </w:r>
            <w:r w:rsidR="0069581B" w:rsidRPr="002B13A4">
              <w:rPr>
                <w:rFonts w:ascii="Garamond" w:hAnsi="Garamond"/>
              </w:rPr>
              <w:t xml:space="preserve"> </w:t>
            </w:r>
            <w:r w:rsidR="004A0601">
              <w:rPr>
                <w:rFonts w:ascii="Garamond" w:hAnsi="Garamond"/>
              </w:rPr>
              <w:t xml:space="preserve"> </w:t>
            </w:r>
            <w:r w:rsidR="00D521D5">
              <w:rPr>
                <w:rFonts w:ascii="Garamond" w:hAnsi="Garamond"/>
              </w:rPr>
              <w:t>15</w:t>
            </w:r>
            <w:r w:rsidR="004A0601">
              <w:rPr>
                <w:rFonts w:ascii="Garamond" w:hAnsi="Garamond"/>
              </w:rPr>
              <w:t xml:space="preserve"> lipca</w:t>
            </w:r>
            <w:r w:rsidR="00335435" w:rsidRPr="002B13A4">
              <w:rPr>
                <w:rFonts w:ascii="Garamond" w:hAnsi="Garamond"/>
              </w:rPr>
              <w:t xml:space="preserve"> </w:t>
            </w:r>
            <w:r w:rsidR="00090730" w:rsidRPr="002B13A4">
              <w:rPr>
                <w:rFonts w:ascii="Garamond" w:hAnsi="Garamond"/>
              </w:rPr>
              <w:t>202</w:t>
            </w:r>
            <w:r w:rsidR="00335435" w:rsidRPr="002B13A4">
              <w:rPr>
                <w:rFonts w:ascii="Garamond" w:hAnsi="Garamond"/>
              </w:rPr>
              <w:t>1</w:t>
            </w:r>
            <w:r w:rsidR="00090730" w:rsidRPr="002B13A4">
              <w:rPr>
                <w:rFonts w:ascii="Garamond" w:hAnsi="Garamond"/>
              </w:rPr>
              <w:t xml:space="preserve"> r.</w:t>
            </w:r>
          </w:p>
        </w:tc>
      </w:tr>
    </w:tbl>
    <w:p w:rsidR="00090730" w:rsidRPr="002B13A4" w:rsidRDefault="00090730" w:rsidP="00090730">
      <w:pPr>
        <w:ind w:left="5529"/>
        <w:rPr>
          <w:rFonts w:ascii="Garamond" w:hAnsi="Garamond"/>
          <w:b/>
          <w:bCs/>
        </w:rPr>
      </w:pPr>
      <w:r w:rsidRPr="002B13A4">
        <w:rPr>
          <w:rFonts w:ascii="Garamond" w:hAnsi="Garamond"/>
          <w:b/>
          <w:bCs/>
        </w:rPr>
        <w:t xml:space="preserve">Pan </w:t>
      </w:r>
    </w:p>
    <w:p w:rsidR="00090730" w:rsidRPr="002B13A4" w:rsidRDefault="00090730" w:rsidP="00090730">
      <w:pPr>
        <w:ind w:left="5529"/>
        <w:rPr>
          <w:rFonts w:ascii="Garamond" w:hAnsi="Garamond"/>
          <w:b/>
          <w:bCs/>
        </w:rPr>
      </w:pPr>
      <w:r w:rsidRPr="002B13A4">
        <w:rPr>
          <w:rFonts w:ascii="Garamond" w:hAnsi="Garamond"/>
          <w:b/>
          <w:bCs/>
        </w:rPr>
        <w:t>Andrzej Bętkowski</w:t>
      </w:r>
    </w:p>
    <w:p w:rsidR="00090730" w:rsidRDefault="00090730" w:rsidP="00090730">
      <w:pPr>
        <w:ind w:left="5529"/>
        <w:rPr>
          <w:rFonts w:ascii="Garamond" w:hAnsi="Garamond"/>
          <w:b/>
          <w:bCs/>
        </w:rPr>
      </w:pPr>
      <w:r w:rsidRPr="002B13A4">
        <w:rPr>
          <w:rFonts w:ascii="Garamond" w:hAnsi="Garamond"/>
          <w:b/>
          <w:bCs/>
        </w:rPr>
        <w:t>Marszałek Województwa Świętokrzyskiego</w:t>
      </w:r>
    </w:p>
    <w:p w:rsidR="00536C09" w:rsidRPr="005F7ADF" w:rsidRDefault="00536C09" w:rsidP="00090730">
      <w:pPr>
        <w:ind w:left="5529"/>
        <w:rPr>
          <w:rFonts w:ascii="Garamond" w:hAnsi="Garamond"/>
          <w:b/>
          <w:bCs/>
        </w:rPr>
      </w:pPr>
    </w:p>
    <w:p w:rsidR="00536C09" w:rsidRPr="005F7ADF" w:rsidRDefault="00536C09" w:rsidP="00090730">
      <w:pPr>
        <w:ind w:left="5529"/>
        <w:rPr>
          <w:rFonts w:ascii="Garamond" w:hAnsi="Garamond"/>
          <w:b/>
          <w:bCs/>
        </w:rPr>
      </w:pPr>
    </w:p>
    <w:p w:rsidR="00C467C2" w:rsidRPr="005F7ADF" w:rsidRDefault="00C467C2" w:rsidP="00090730">
      <w:pPr>
        <w:spacing w:line="276" w:lineRule="auto"/>
        <w:rPr>
          <w:rFonts w:ascii="Garamond" w:hAnsi="Garamond"/>
          <w:b/>
        </w:rPr>
      </w:pPr>
    </w:p>
    <w:p w:rsidR="00090730" w:rsidRPr="005F7ADF" w:rsidRDefault="00090730" w:rsidP="00090730">
      <w:pPr>
        <w:spacing w:line="276" w:lineRule="auto"/>
        <w:ind w:firstLine="708"/>
        <w:jc w:val="both"/>
        <w:rPr>
          <w:rFonts w:ascii="Garamond" w:hAnsi="Garamond"/>
        </w:rPr>
      </w:pPr>
      <w:r w:rsidRPr="005F7ADF">
        <w:rPr>
          <w:rFonts w:ascii="Garamond" w:hAnsi="Garamond"/>
        </w:rPr>
        <w:t xml:space="preserve">W odpowiedzi na pismo znak: </w:t>
      </w:r>
      <w:r w:rsidR="004A0601" w:rsidRPr="005F7ADF">
        <w:rPr>
          <w:rFonts w:ascii="Garamond" w:hAnsi="Garamond"/>
        </w:rPr>
        <w:t xml:space="preserve">ŚO-I.7011.22.2021 </w:t>
      </w:r>
      <w:r w:rsidRPr="005F7ADF">
        <w:rPr>
          <w:rFonts w:ascii="Garamond" w:hAnsi="Garamond"/>
        </w:rPr>
        <w:t xml:space="preserve">z dnia </w:t>
      </w:r>
      <w:r w:rsidR="004A0601" w:rsidRPr="005F7ADF">
        <w:rPr>
          <w:rFonts w:ascii="Garamond" w:hAnsi="Garamond"/>
        </w:rPr>
        <w:t>19 maja</w:t>
      </w:r>
      <w:r w:rsidRPr="005F7ADF">
        <w:rPr>
          <w:rFonts w:ascii="Garamond" w:hAnsi="Garamond"/>
        </w:rPr>
        <w:t xml:space="preserve"> 202</w:t>
      </w:r>
      <w:r w:rsidR="00335435" w:rsidRPr="005F7ADF">
        <w:rPr>
          <w:rFonts w:ascii="Garamond" w:hAnsi="Garamond"/>
        </w:rPr>
        <w:t>1</w:t>
      </w:r>
      <w:r w:rsidRPr="005F7ADF">
        <w:rPr>
          <w:rFonts w:ascii="Garamond" w:hAnsi="Garamond"/>
        </w:rPr>
        <w:t xml:space="preserve"> r.</w:t>
      </w:r>
      <w:r w:rsidR="00335435" w:rsidRPr="005F7ADF">
        <w:rPr>
          <w:rFonts w:ascii="Garamond" w:hAnsi="Garamond"/>
        </w:rPr>
        <w:t xml:space="preserve"> (data wpływu </w:t>
      </w:r>
      <w:r w:rsidR="004A0601" w:rsidRPr="005F7ADF">
        <w:rPr>
          <w:rFonts w:ascii="Garamond" w:hAnsi="Garamond"/>
        </w:rPr>
        <w:t>16</w:t>
      </w:r>
      <w:r w:rsidR="00335435" w:rsidRPr="005F7ADF">
        <w:rPr>
          <w:rFonts w:ascii="Garamond" w:hAnsi="Garamond"/>
        </w:rPr>
        <w:t>.0</w:t>
      </w:r>
      <w:r w:rsidR="004A0601" w:rsidRPr="005F7ADF">
        <w:rPr>
          <w:rFonts w:ascii="Garamond" w:hAnsi="Garamond"/>
        </w:rPr>
        <w:t>6</w:t>
      </w:r>
      <w:r w:rsidR="00335435" w:rsidRPr="005F7ADF">
        <w:rPr>
          <w:rFonts w:ascii="Garamond" w:hAnsi="Garamond"/>
        </w:rPr>
        <w:t xml:space="preserve">.2021 r.) </w:t>
      </w:r>
      <w:r w:rsidRPr="005F7ADF">
        <w:rPr>
          <w:rFonts w:ascii="Garamond" w:hAnsi="Garamond"/>
        </w:rPr>
        <w:t xml:space="preserve"> w sprawie uzgodnienia zakresu i stopnia szczegó</w:t>
      </w:r>
      <w:r w:rsidR="00BD6DA3" w:rsidRPr="005F7ADF">
        <w:rPr>
          <w:rFonts w:ascii="Garamond" w:hAnsi="Garamond"/>
        </w:rPr>
        <w:t>łowości informacji wymaganych w </w:t>
      </w:r>
      <w:r w:rsidRPr="005F7ADF">
        <w:rPr>
          <w:rFonts w:ascii="Garamond" w:hAnsi="Garamond"/>
        </w:rPr>
        <w:t>prognozie oddziaływania na środowisko dla projektu</w:t>
      </w:r>
      <w:r w:rsidR="00335435" w:rsidRPr="005F7ADF">
        <w:rPr>
          <w:rFonts w:ascii="Garamond" w:hAnsi="Garamond"/>
        </w:rPr>
        <w:t xml:space="preserve"> </w:t>
      </w:r>
      <w:r w:rsidR="004A0601" w:rsidRPr="005F7ADF">
        <w:rPr>
          <w:rFonts w:ascii="Garamond" w:hAnsi="Garamond"/>
        </w:rPr>
        <w:t xml:space="preserve">aktualizacji </w:t>
      </w:r>
      <w:r w:rsidR="00335435" w:rsidRPr="005F7ADF">
        <w:rPr>
          <w:rFonts w:ascii="Garamond" w:hAnsi="Garamond"/>
        </w:rPr>
        <w:t xml:space="preserve">dokumentu pn. </w:t>
      </w:r>
      <w:r w:rsidRPr="005F7ADF">
        <w:rPr>
          <w:rFonts w:ascii="Garamond" w:hAnsi="Garamond"/>
          <w:b/>
        </w:rPr>
        <w:t>„</w:t>
      </w:r>
      <w:r w:rsidR="004A0601" w:rsidRPr="005F7ADF">
        <w:rPr>
          <w:rFonts w:ascii="Garamond" w:hAnsi="Garamond"/>
          <w:b/>
        </w:rPr>
        <w:t xml:space="preserve">Plan </w:t>
      </w:r>
      <w:r w:rsidR="001848AC" w:rsidRPr="005F7ADF">
        <w:rPr>
          <w:rFonts w:ascii="Garamond" w:hAnsi="Garamond"/>
          <w:b/>
        </w:rPr>
        <w:t>g</w:t>
      </w:r>
      <w:r w:rsidR="004A0601" w:rsidRPr="005F7ADF">
        <w:rPr>
          <w:rFonts w:ascii="Garamond" w:hAnsi="Garamond"/>
          <w:b/>
        </w:rPr>
        <w:t>ospodarki odpadami  dla województwa ś</w:t>
      </w:r>
      <w:r w:rsidR="00335435" w:rsidRPr="005F7ADF">
        <w:rPr>
          <w:rFonts w:ascii="Garamond" w:hAnsi="Garamond"/>
          <w:b/>
        </w:rPr>
        <w:t>więtokrzyskiego</w:t>
      </w:r>
      <w:r w:rsidRPr="005F7ADF">
        <w:rPr>
          <w:rFonts w:ascii="Garamond" w:hAnsi="Garamond"/>
          <w:b/>
        </w:rPr>
        <w:t>”</w:t>
      </w:r>
      <w:r w:rsidR="004A0601" w:rsidRPr="005F7ADF">
        <w:rPr>
          <w:rFonts w:ascii="Garamond" w:hAnsi="Garamond"/>
          <w:b/>
        </w:rPr>
        <w:t xml:space="preserve"> (WPGO)</w:t>
      </w:r>
      <w:r w:rsidRPr="005F7ADF">
        <w:rPr>
          <w:rFonts w:ascii="Garamond" w:hAnsi="Garamond"/>
        </w:rPr>
        <w:t>, na podstawie art. 53</w:t>
      </w:r>
      <w:r w:rsidR="00335435" w:rsidRPr="005F7ADF">
        <w:rPr>
          <w:rFonts w:ascii="Garamond" w:hAnsi="Garamond"/>
        </w:rPr>
        <w:t xml:space="preserve">  </w:t>
      </w:r>
      <w:r w:rsidR="00BD6DA3" w:rsidRPr="005F7ADF">
        <w:rPr>
          <w:rFonts w:ascii="Garamond" w:hAnsi="Garamond"/>
        </w:rPr>
        <w:t>ust. </w:t>
      </w:r>
      <w:r w:rsidRPr="005F7ADF">
        <w:rPr>
          <w:rFonts w:ascii="Garamond" w:hAnsi="Garamond"/>
        </w:rPr>
        <w:t xml:space="preserve">1 ustawy </w:t>
      </w:r>
      <w:r w:rsidRPr="005F7ADF">
        <w:rPr>
          <w:rFonts w:ascii="Garamond" w:hAnsi="Garamond"/>
          <w:bCs/>
        </w:rPr>
        <w:t>z dnia 3 października 2008 r.</w:t>
      </w:r>
      <w:r w:rsidR="00335435" w:rsidRPr="005F7ADF">
        <w:rPr>
          <w:rFonts w:ascii="Garamond" w:hAnsi="Garamond"/>
          <w:bCs/>
        </w:rPr>
        <w:t xml:space="preserve"> </w:t>
      </w:r>
      <w:r w:rsidRPr="005F7ADF">
        <w:rPr>
          <w:rFonts w:ascii="Garamond" w:hAnsi="Garamond"/>
        </w:rPr>
        <w:t>o udostępnianiu informacji o środowisku i jego ochronie, udziale społeczeństwa w ochronie środowiska oraz o ocenach oddziaływania na</w:t>
      </w:r>
      <w:r w:rsidR="00BD6DA3" w:rsidRPr="005F7ADF">
        <w:rPr>
          <w:rFonts w:ascii="Garamond" w:hAnsi="Garamond"/>
        </w:rPr>
        <w:t> </w:t>
      </w:r>
      <w:r w:rsidRPr="005F7ADF">
        <w:rPr>
          <w:rFonts w:ascii="Garamond" w:hAnsi="Garamond"/>
        </w:rPr>
        <w:t xml:space="preserve">środowisko </w:t>
      </w:r>
      <w:r w:rsidR="00335435" w:rsidRPr="005F7ADF">
        <w:rPr>
          <w:rFonts w:ascii="Garamond" w:hAnsi="Garamond"/>
        </w:rPr>
        <w:t>(teks</w:t>
      </w:r>
      <w:r w:rsidR="00BD6DA3" w:rsidRPr="005F7ADF">
        <w:rPr>
          <w:rFonts w:ascii="Garamond" w:hAnsi="Garamond"/>
        </w:rPr>
        <w:t>t</w:t>
      </w:r>
      <w:r w:rsidR="00335435" w:rsidRPr="005F7ADF">
        <w:rPr>
          <w:rFonts w:ascii="Garamond" w:hAnsi="Garamond"/>
        </w:rPr>
        <w:t xml:space="preserve"> jedn. Dz. U. z 2021 r., poz. 247</w:t>
      </w:r>
      <w:r w:rsidR="004A0601" w:rsidRPr="005F7ADF">
        <w:rPr>
          <w:rFonts w:ascii="Garamond" w:hAnsi="Garamond"/>
        </w:rPr>
        <w:t xml:space="preserve"> z </w:t>
      </w:r>
      <w:proofErr w:type="spellStart"/>
      <w:r w:rsidR="004A0601" w:rsidRPr="005F7ADF">
        <w:rPr>
          <w:rFonts w:ascii="Garamond" w:hAnsi="Garamond"/>
        </w:rPr>
        <w:t>późn</w:t>
      </w:r>
      <w:proofErr w:type="spellEnd"/>
      <w:r w:rsidR="004A0601" w:rsidRPr="005F7ADF">
        <w:rPr>
          <w:rFonts w:ascii="Garamond" w:hAnsi="Garamond"/>
        </w:rPr>
        <w:t>. zm.</w:t>
      </w:r>
      <w:r w:rsidR="00335435" w:rsidRPr="005F7ADF">
        <w:rPr>
          <w:rFonts w:ascii="Garamond" w:hAnsi="Garamond"/>
        </w:rPr>
        <w:t>)</w:t>
      </w:r>
      <w:r w:rsidRPr="005F7ADF">
        <w:rPr>
          <w:rFonts w:ascii="Garamond" w:hAnsi="Garamond"/>
        </w:rPr>
        <w:t xml:space="preserve">, </w:t>
      </w:r>
      <w:r w:rsidR="0073713A" w:rsidRPr="005F7ADF">
        <w:rPr>
          <w:rFonts w:ascii="Garamond" w:hAnsi="Garamond"/>
        </w:rPr>
        <w:t>uzgadniam następujący zakres i stopień szczegółowości prognozy</w:t>
      </w:r>
      <w:r w:rsidR="002231B6" w:rsidRPr="005F7ADF">
        <w:rPr>
          <w:rFonts w:ascii="Garamond" w:hAnsi="Garamond"/>
        </w:rPr>
        <w:t>.</w:t>
      </w:r>
    </w:p>
    <w:p w:rsidR="002231B6" w:rsidRPr="005F7ADF" w:rsidRDefault="002231B6" w:rsidP="00090730">
      <w:pPr>
        <w:spacing w:line="276" w:lineRule="auto"/>
        <w:ind w:firstLine="708"/>
        <w:jc w:val="both"/>
        <w:rPr>
          <w:rFonts w:ascii="Garamond" w:hAnsi="Garamond"/>
        </w:rPr>
      </w:pPr>
    </w:p>
    <w:p w:rsidR="00090730" w:rsidRPr="005F7ADF" w:rsidRDefault="00090730" w:rsidP="00090730">
      <w:pPr>
        <w:spacing w:line="276" w:lineRule="auto"/>
        <w:ind w:firstLine="708"/>
        <w:jc w:val="both"/>
        <w:rPr>
          <w:rFonts w:ascii="Garamond" w:hAnsi="Garamond"/>
        </w:rPr>
      </w:pPr>
      <w:r w:rsidRPr="005F7ADF">
        <w:rPr>
          <w:rFonts w:ascii="Garamond" w:hAnsi="Garamond"/>
        </w:rPr>
        <w:t xml:space="preserve">Treść prognozy powinna być zgodna ze wskazaniami zawartymi w art. 51 ustawy z dnia </w:t>
      </w:r>
      <w:r w:rsidR="001106C7" w:rsidRPr="005F7ADF">
        <w:rPr>
          <w:rFonts w:ascii="Garamond" w:hAnsi="Garamond"/>
        </w:rPr>
        <w:br/>
      </w:r>
      <w:r w:rsidRPr="005F7ADF">
        <w:rPr>
          <w:rFonts w:ascii="Garamond" w:hAnsi="Garamond"/>
        </w:rPr>
        <w:t>3 października 2008</w:t>
      </w:r>
      <w:r w:rsidR="0066265B" w:rsidRPr="005F7ADF">
        <w:rPr>
          <w:rFonts w:ascii="Garamond" w:hAnsi="Garamond"/>
        </w:rPr>
        <w:t xml:space="preserve"> </w:t>
      </w:r>
      <w:r w:rsidRPr="005F7ADF">
        <w:rPr>
          <w:rFonts w:ascii="Garamond" w:hAnsi="Garamond"/>
        </w:rPr>
        <w:t xml:space="preserve">r. o udostępnianiu informacji o środowisku i jego ochronie, udziale społeczeństwa w ochronie środowiska oraz o ocenach oddziaływania na środowisko. Żaden </w:t>
      </w:r>
      <w:r w:rsidR="001106C7" w:rsidRPr="005F7ADF">
        <w:rPr>
          <w:rFonts w:ascii="Garamond" w:hAnsi="Garamond"/>
        </w:rPr>
        <w:br/>
      </w:r>
      <w:r w:rsidRPr="005F7ADF">
        <w:rPr>
          <w:rFonts w:ascii="Garamond" w:hAnsi="Garamond"/>
        </w:rPr>
        <w:t>z elementów zawartych w tym artykule nie może zostać pominięty w treści opracowywanej prognozy. W przypadku braku odniesienia się do wymienionych przez ustawodawcę wymogów d</w:t>
      </w:r>
      <w:r w:rsidR="006C2FE3" w:rsidRPr="005F7ADF">
        <w:rPr>
          <w:rFonts w:ascii="Garamond" w:hAnsi="Garamond"/>
        </w:rPr>
        <w:t>la</w:t>
      </w:r>
      <w:r w:rsidRPr="005F7ADF">
        <w:rPr>
          <w:rFonts w:ascii="Garamond" w:hAnsi="Garamond"/>
        </w:rPr>
        <w:t xml:space="preserve"> projektu dokumentu, autor prognozy powinien zawrzeć informację</w:t>
      </w:r>
      <w:r w:rsidR="006C2FE3" w:rsidRPr="005F7ADF">
        <w:rPr>
          <w:rFonts w:ascii="Garamond" w:hAnsi="Garamond"/>
        </w:rPr>
        <w:t xml:space="preserve"> w tym zakresie</w:t>
      </w:r>
      <w:r w:rsidRPr="005F7ADF">
        <w:rPr>
          <w:rFonts w:ascii="Garamond" w:hAnsi="Garamond"/>
        </w:rPr>
        <w:t xml:space="preserve"> wraz z jej uzasadnieniem.</w:t>
      </w:r>
    </w:p>
    <w:p w:rsidR="00150413" w:rsidRPr="005F7ADF" w:rsidRDefault="00150413" w:rsidP="00150413">
      <w:pPr>
        <w:keepNext/>
        <w:spacing w:line="276" w:lineRule="auto"/>
        <w:ind w:firstLine="426"/>
        <w:jc w:val="both"/>
        <w:outlineLvl w:val="0"/>
      </w:pPr>
      <w:r w:rsidRPr="005F7ADF">
        <w:rPr>
          <w:rFonts w:ascii="Garamond" w:eastAsiaTheme="minorEastAsia" w:hAnsi="Garamond"/>
          <w:b/>
        </w:rPr>
        <w:t xml:space="preserve">    </w:t>
      </w:r>
      <w:r w:rsidRPr="005F7ADF">
        <w:rPr>
          <w:rFonts w:ascii="Garamond" w:eastAsiaTheme="minorEastAsia" w:hAnsi="Garamond"/>
        </w:rPr>
        <w:t>Analizie należy poddać w szczególności następujące kwestie:</w:t>
      </w:r>
    </w:p>
    <w:p w:rsidR="00466F21" w:rsidRPr="005F7ADF" w:rsidRDefault="00466F21" w:rsidP="00466F2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Z przedstawionych materiałów wynika, że dokument będzie wyznaczał ramy dla późniejszej realizacji przedsięwzięć mogących znacząco oddziaływać na środowisko </w:t>
      </w:r>
      <w:r w:rsidR="006C2FE3" w:rsidRPr="005F7ADF">
        <w:rPr>
          <w:rFonts w:ascii="Garamond" w:hAnsi="Garamond"/>
          <w:sz w:val="24"/>
          <w:szCs w:val="24"/>
        </w:rPr>
        <w:t>wskazanych w rozporządzeniu</w:t>
      </w:r>
      <w:r w:rsidRPr="005F7ADF">
        <w:rPr>
          <w:rFonts w:ascii="Garamond" w:hAnsi="Garamond"/>
          <w:sz w:val="24"/>
          <w:szCs w:val="24"/>
        </w:rPr>
        <w:t xml:space="preserve"> Rady Ministrów z dnia 10 września 2019 r. w sprawie przedsięwzięć mogących znacząco oddziaływać na środowisko (Dz. U. z 2019 r., poz. 1839). Zapisy prognozy powinny opisywać i oceniać skutki planowanych pr</w:t>
      </w:r>
      <w:r w:rsidR="006C2FE3" w:rsidRPr="005F7ADF">
        <w:rPr>
          <w:rFonts w:ascii="Garamond" w:hAnsi="Garamond"/>
          <w:sz w:val="24"/>
          <w:szCs w:val="24"/>
        </w:rPr>
        <w:t>zedsięwzięć na środowisko (ujętych</w:t>
      </w:r>
      <w:r w:rsidRPr="005F7ADF">
        <w:rPr>
          <w:rFonts w:ascii="Garamond" w:hAnsi="Garamond"/>
          <w:sz w:val="24"/>
          <w:szCs w:val="24"/>
        </w:rPr>
        <w:t xml:space="preserve"> w planie inwestycyjnym), wskazywać w jaki sposób i w jakiej skali przyjęte rozwiązania przekształcą środowisko oraz w jakim stopniu mogą spowodować negatywne oddziaływania na środowisko, w tym na przyrodę. Należy także przeanalizować oddziaływania skumulowane biorąc pod uwagę istniejące i planowane przedsięwzięcia oraz zaproponować stosowne rozwiązania chroniące środowisko. W przypadku przedsięwzięć</w:t>
      </w:r>
      <w:r w:rsidR="00114A73" w:rsidRPr="005F7ADF">
        <w:rPr>
          <w:rFonts w:ascii="Garamond" w:hAnsi="Garamond"/>
          <w:sz w:val="24"/>
          <w:szCs w:val="24"/>
        </w:rPr>
        <w:t>,</w:t>
      </w:r>
      <w:r w:rsidRPr="005F7ADF">
        <w:rPr>
          <w:rFonts w:ascii="Garamond" w:hAnsi="Garamond"/>
          <w:sz w:val="24"/>
          <w:szCs w:val="24"/>
        </w:rPr>
        <w:t xml:space="preserve"> w stosunku do których zostały już przeprowadzone (lub są w trakcie) postępowania </w:t>
      </w:r>
      <w:r w:rsidR="00370955" w:rsidRPr="005F7ADF">
        <w:rPr>
          <w:rFonts w:ascii="Garamond" w:hAnsi="Garamond"/>
          <w:sz w:val="24"/>
          <w:szCs w:val="24"/>
        </w:rPr>
        <w:t xml:space="preserve">         </w:t>
      </w:r>
      <w:r w:rsidRPr="005F7ADF">
        <w:rPr>
          <w:rFonts w:ascii="Garamond" w:hAnsi="Garamond"/>
          <w:sz w:val="24"/>
          <w:szCs w:val="24"/>
        </w:rPr>
        <w:t xml:space="preserve">w </w:t>
      </w:r>
      <w:r w:rsidRPr="005F7ADF">
        <w:rPr>
          <w:rFonts w:ascii="Garamond" w:hAnsi="Garamond"/>
          <w:sz w:val="24"/>
          <w:szCs w:val="24"/>
        </w:rPr>
        <w:lastRenderedPageBreak/>
        <w:t xml:space="preserve">sprawie oceny oddziaływania przedsięwzięć na środowisko </w:t>
      </w:r>
      <w:r w:rsidR="006C2FE3" w:rsidRPr="005F7ADF">
        <w:rPr>
          <w:rFonts w:ascii="Garamond" w:hAnsi="Garamond"/>
          <w:sz w:val="24"/>
          <w:szCs w:val="24"/>
        </w:rPr>
        <w:t xml:space="preserve">w ramach </w:t>
      </w:r>
      <w:r w:rsidRPr="005F7ADF">
        <w:rPr>
          <w:rFonts w:ascii="Garamond" w:hAnsi="Garamond"/>
          <w:sz w:val="24"/>
          <w:szCs w:val="24"/>
        </w:rPr>
        <w:t xml:space="preserve">procedury uzyskania decyzji o środowiskowych uwarunkowaniach, wskazane jest odpowiednie wykorzystanie wyników tych ocen w prognozie. W przypadku gdy nie jest znana szczegółowa lokalizacja planowanych zamierzeń, w prognozie należy uwzględnić zapisy stosowne do specyfiki danego przedsięwzięcia, w tym działania minimalizujące negatywne oddziaływania na środowisko. </w:t>
      </w:r>
    </w:p>
    <w:p w:rsidR="00466F21" w:rsidRPr="005F7ADF" w:rsidRDefault="00466F21" w:rsidP="00C3098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>Biorąc pod uwagę informacje na temat istniejących instalacji przetwarzających odpady komunalne, sposoby zagospodarowania odpadów oraz zbilansowane moce przerobowe,         w planie inwestycyjnym należy wskazać inwestycje planowane do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rozbudowy/</w:t>
      </w:r>
      <w:r w:rsidR="006C2FE3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modernizacji wraz ze wskazaniem ich lokalizacji na mapie, określeniem ich mocy przerobowych, rodzaju frakcji zbieranych lub przetwarzanych odpadów komunalnych w myśl rozporządzenia Ministra Środowiska z dnia 1 lipca 2015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r. w sprawie sposobu i formy sporządzania wojewódzkiego planu gospodarki odpadami oraz wzoru planu inwestycyjnego (Dz. U.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z 2015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r., poz. 1016). Zapisy dokumentu powinny wskazywać sposoby postępowania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z odpadami, w tym osiągnięcia wymaganych poziomów przygotowania do ponownego użycia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 xml:space="preserve">i recyklingu oraz ograniczenia składowania odpadów komunalnych ulegających biodegradacji. W prognozie należy uwzględnić kwestie dotyczące zmniejszenia ilości odpadów, ponownego wykorzystania, segregacji oraz zwiększenia poziomu odzysku i unieszkodliwiania odpadów. Należy 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również </w:t>
      </w:r>
      <w:r w:rsidRPr="005F7ADF">
        <w:rPr>
          <w:rFonts w:ascii="Garamond" w:hAnsi="Garamond"/>
          <w:sz w:val="24"/>
          <w:szCs w:val="24"/>
          <w:lang w:val="pl-PL"/>
        </w:rPr>
        <w:t xml:space="preserve">zidentyfikować potencjalne oddziaływania na środowisko przedsięwzięć będących wynikiem realizacji 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projektu </w:t>
      </w:r>
      <w:r w:rsidRPr="005F7ADF">
        <w:rPr>
          <w:rFonts w:ascii="Garamond" w:hAnsi="Garamond"/>
          <w:sz w:val="24"/>
          <w:szCs w:val="24"/>
          <w:lang w:val="pl-PL"/>
        </w:rPr>
        <w:t xml:space="preserve">Planu oraz ocenić ich przewidywane negatywne oddziaływania na środowisko. </w:t>
      </w:r>
    </w:p>
    <w:p w:rsidR="00466F21" w:rsidRPr="005F7ADF" w:rsidRDefault="00466F21" w:rsidP="00466F2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>Mając na uwadze zagrożenia i problemy w zakresie gospodarki odpadami w prognozie należy przeanalizować i ocenić  wpływ zagospodarowania poszczególnych grup odpadów na środowisko, w tym na przyrodę. Uwzględniając sposoby postępowania z odpadami należy wziąć pod uwagę m.in. odpady obojętne, odpady medyczne i weterynaryjne, odpady z</w:t>
      </w:r>
      <w:r w:rsidR="00ED1F68" w:rsidRPr="005F7ADF">
        <w:rPr>
          <w:rFonts w:ascii="Garamond" w:hAnsi="Garamond"/>
          <w:sz w:val="24"/>
          <w:szCs w:val="24"/>
          <w:lang w:val="pl-PL"/>
        </w:rPr>
        <w:t xml:space="preserve"> oczyszczalni ścieków, odpady</w:t>
      </w:r>
      <w:r w:rsidRPr="005F7ADF">
        <w:rPr>
          <w:rFonts w:ascii="Garamond" w:hAnsi="Garamond"/>
          <w:sz w:val="24"/>
          <w:szCs w:val="24"/>
          <w:lang w:val="pl-PL"/>
        </w:rPr>
        <w:t xml:space="preserve"> zużytego sprzętu elektrycznego</w:t>
      </w:r>
      <w:r w:rsidR="005F7ADF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 xml:space="preserve">i elektronicznego,  zużytych baterii i akumulatorów oraz odpady powstające w wyniku poważnych awarii </w:t>
      </w:r>
      <w:r w:rsidR="005F7ADF" w:rsidRPr="005F7ADF">
        <w:rPr>
          <w:rFonts w:ascii="Garamond" w:hAnsi="Garamond"/>
          <w:sz w:val="24"/>
          <w:szCs w:val="24"/>
          <w:lang w:val="pl-PL"/>
        </w:rPr>
        <w:t xml:space="preserve">       </w:t>
      </w:r>
      <w:r w:rsidRPr="005F7ADF">
        <w:rPr>
          <w:rFonts w:ascii="Garamond" w:hAnsi="Garamond"/>
          <w:sz w:val="24"/>
          <w:szCs w:val="24"/>
          <w:lang w:val="pl-PL"/>
        </w:rPr>
        <w:t>(np. awarii przemysłowych) i określić zasady gospodarowania odpadami w sposób zapewniający ochronę zdrowia i życia ludzi oraz ochronę środowiska zgodnie z zasadą zrównoważonego rozwoju.</w:t>
      </w:r>
    </w:p>
    <w:p w:rsidR="00466F21" w:rsidRPr="005F7ADF" w:rsidRDefault="00466F21" w:rsidP="00466F2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 xml:space="preserve">W kwestii zagospodarowania odpadów niebezpiecznych, w tym instalacji związanych                 z termicznym przekształceniem odpadów, które stanowią źródło emisji </w:t>
      </w:r>
      <w:r w:rsidR="00ED1F68" w:rsidRPr="005F7ADF">
        <w:rPr>
          <w:rFonts w:ascii="Garamond" w:hAnsi="Garamond"/>
          <w:sz w:val="24"/>
          <w:szCs w:val="24"/>
          <w:lang w:val="pl-PL"/>
        </w:rPr>
        <w:t xml:space="preserve">zanieczyszczeń </w:t>
      </w:r>
      <w:r w:rsidRPr="005F7ADF">
        <w:rPr>
          <w:rFonts w:ascii="Garamond" w:hAnsi="Garamond"/>
          <w:sz w:val="24"/>
          <w:szCs w:val="24"/>
          <w:lang w:val="pl-PL"/>
        </w:rPr>
        <w:t>powietrza atmosferycznego, należy wziąć pod uwagę konieczność stosowania najnowocześniejszych technologii oraz spełnienie standardów najlepszej dostępnej techniki (BAT). Ponadto w prognozie należy ocenić wpływ planowan</w:t>
      </w:r>
      <w:r w:rsidR="00ED1F68" w:rsidRPr="005F7ADF">
        <w:rPr>
          <w:rFonts w:ascii="Garamond" w:hAnsi="Garamond"/>
          <w:sz w:val="24"/>
          <w:szCs w:val="24"/>
          <w:lang w:val="pl-PL"/>
        </w:rPr>
        <w:t>ych instalacji na zdrowie i życie</w:t>
      </w:r>
      <w:r w:rsidRPr="005F7ADF">
        <w:rPr>
          <w:rFonts w:ascii="Garamond" w:hAnsi="Garamond"/>
          <w:sz w:val="24"/>
          <w:szCs w:val="24"/>
          <w:lang w:val="pl-PL"/>
        </w:rPr>
        <w:t xml:space="preserve"> ludzi oraz ochronę środowiska.</w:t>
      </w:r>
    </w:p>
    <w:p w:rsidR="00466F21" w:rsidRPr="005F7ADF" w:rsidRDefault="00466F21" w:rsidP="00466F2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 xml:space="preserve">W odniesieniu do wyrobów zawierających azbest </w:t>
      </w:r>
      <w:r w:rsidR="00ED1F68" w:rsidRPr="005F7ADF">
        <w:rPr>
          <w:rFonts w:ascii="Garamond" w:hAnsi="Garamond"/>
          <w:sz w:val="24"/>
          <w:szCs w:val="24"/>
          <w:lang w:val="pl-PL"/>
        </w:rPr>
        <w:t>w prognozie</w:t>
      </w:r>
      <w:r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="00ED1F68" w:rsidRPr="005F7ADF">
        <w:rPr>
          <w:rFonts w:ascii="Garamond" w:hAnsi="Garamond"/>
          <w:sz w:val="24"/>
          <w:szCs w:val="24"/>
          <w:lang w:val="pl-PL"/>
        </w:rPr>
        <w:t>należy</w:t>
      </w:r>
      <w:r w:rsidRPr="005F7ADF">
        <w:rPr>
          <w:rFonts w:ascii="Garamond" w:hAnsi="Garamond"/>
          <w:sz w:val="24"/>
          <w:szCs w:val="24"/>
          <w:lang w:val="pl-PL"/>
        </w:rPr>
        <w:t xml:space="preserve"> zwrócić uwagę na zagrożenia związane z usuwaniem azbestu i wyrobów zawierających azbest. Oceny należy dokonać w kontekście poprawy jakości środowiska poprzez usunięcie i unieszkodliwienie wyrobów zawierających azbest.  </w:t>
      </w:r>
    </w:p>
    <w:p w:rsidR="00466F21" w:rsidRPr="005F7ADF" w:rsidRDefault="00466F21" w:rsidP="00466F2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>W prognozie oddziaływania na środowisko należy przeanalizować działania związane                    z zamknięciem i</w:t>
      </w:r>
      <w:r w:rsidRPr="005F7ADF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rekultywacją składowisk odpadów niespełniających wymagań ochrony środowiska. Należy uwzględnić sposo</w:t>
      </w:r>
      <w:r w:rsidR="0027356A" w:rsidRPr="005F7ADF">
        <w:rPr>
          <w:rFonts w:ascii="Garamond" w:hAnsi="Garamond"/>
          <w:sz w:val="24"/>
          <w:szCs w:val="24"/>
          <w:lang w:val="pl-PL"/>
        </w:rPr>
        <w:t>by zabezpieczenia</w:t>
      </w:r>
      <w:r w:rsidRPr="005F7ADF">
        <w:rPr>
          <w:rFonts w:ascii="Garamond" w:hAnsi="Garamond"/>
          <w:sz w:val="24"/>
          <w:szCs w:val="24"/>
          <w:lang w:val="pl-PL"/>
        </w:rPr>
        <w:t xml:space="preserve"> składowisk przed szkodliwym </w:t>
      </w:r>
      <w:r w:rsidRPr="005F7ADF">
        <w:rPr>
          <w:rFonts w:ascii="Garamond" w:hAnsi="Garamond"/>
          <w:sz w:val="24"/>
          <w:szCs w:val="24"/>
          <w:lang w:val="pl-PL"/>
        </w:rPr>
        <w:lastRenderedPageBreak/>
        <w:t xml:space="preserve">oddziaływaniem na wody powierzchniowe i podziemne oraz </w:t>
      </w:r>
      <w:r w:rsidR="0027356A" w:rsidRPr="005F7ADF">
        <w:rPr>
          <w:rFonts w:ascii="Garamond" w:hAnsi="Garamond"/>
          <w:sz w:val="24"/>
          <w:szCs w:val="24"/>
          <w:lang w:val="pl-PL"/>
        </w:rPr>
        <w:t>jakość powietrza</w:t>
      </w:r>
      <w:r w:rsidRPr="005F7ADF">
        <w:rPr>
          <w:rFonts w:ascii="Garamond" w:hAnsi="Garamond"/>
          <w:sz w:val="24"/>
          <w:szCs w:val="24"/>
          <w:lang w:val="pl-PL"/>
        </w:rPr>
        <w:t>. Przy ocenie należy wziąć pod uwagę rozporządzenie Ministra Środowiska z dnia 30 kwietnia 2013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 xml:space="preserve">r. </w:t>
      </w:r>
      <w:r w:rsidR="00C30987" w:rsidRPr="005F7ADF">
        <w:rPr>
          <w:rFonts w:ascii="Garamond" w:hAnsi="Garamond"/>
          <w:sz w:val="24"/>
          <w:szCs w:val="24"/>
          <w:lang w:val="pl-PL"/>
        </w:rPr>
        <w:t xml:space="preserve">              </w:t>
      </w:r>
      <w:r w:rsidRPr="005F7ADF">
        <w:rPr>
          <w:rFonts w:ascii="Garamond" w:hAnsi="Garamond"/>
          <w:sz w:val="24"/>
          <w:szCs w:val="24"/>
          <w:lang w:val="pl-PL"/>
        </w:rPr>
        <w:t>w sprawie składowisk odpadów (Dz. U. z 2013</w:t>
      </w:r>
      <w:r w:rsidR="00126BEB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r., poz. 523</w:t>
      </w:r>
      <w:r w:rsidR="00370955" w:rsidRPr="005F7ADF">
        <w:rPr>
          <w:rFonts w:ascii="Garamond" w:hAnsi="Garamond"/>
          <w:sz w:val="24"/>
          <w:szCs w:val="24"/>
          <w:lang w:val="pl-PL"/>
        </w:rPr>
        <w:t xml:space="preserve"> z </w:t>
      </w:r>
      <w:proofErr w:type="spellStart"/>
      <w:r w:rsidR="00370955" w:rsidRPr="005F7ADF">
        <w:rPr>
          <w:rFonts w:ascii="Garamond" w:hAnsi="Garamond"/>
          <w:sz w:val="24"/>
          <w:szCs w:val="24"/>
          <w:lang w:val="pl-PL"/>
        </w:rPr>
        <w:t>późn</w:t>
      </w:r>
      <w:proofErr w:type="spellEnd"/>
      <w:r w:rsidR="00370955" w:rsidRPr="005F7ADF">
        <w:rPr>
          <w:rFonts w:ascii="Garamond" w:hAnsi="Garamond"/>
          <w:sz w:val="24"/>
          <w:szCs w:val="24"/>
          <w:lang w:val="pl-PL"/>
        </w:rPr>
        <w:t>. zm.</w:t>
      </w:r>
      <w:r w:rsidRPr="005F7ADF">
        <w:rPr>
          <w:rFonts w:ascii="Garamond" w:hAnsi="Garamond"/>
          <w:sz w:val="24"/>
          <w:szCs w:val="24"/>
          <w:lang w:val="pl-PL"/>
        </w:rPr>
        <w:t xml:space="preserve">). </w:t>
      </w:r>
    </w:p>
    <w:p w:rsidR="00090730" w:rsidRPr="005F7ADF" w:rsidRDefault="00090730" w:rsidP="001106C7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Prognoza powinna przede wszystkim dokonać stosownej dla tego rodzaju dokumentu oceny potencjalnych skutków dla środowiska jakie mogą wystąpić w wyniku wdrażania </w:t>
      </w:r>
      <w:r w:rsidR="002344B0" w:rsidRPr="005F7ADF">
        <w:rPr>
          <w:rFonts w:ascii="Garamond" w:hAnsi="Garamond"/>
          <w:sz w:val="24"/>
          <w:szCs w:val="24"/>
        </w:rPr>
        <w:t xml:space="preserve">ustaleń </w:t>
      </w:r>
      <w:r w:rsidRPr="005F7ADF">
        <w:rPr>
          <w:rFonts w:ascii="Garamond" w:hAnsi="Garamond"/>
          <w:sz w:val="24"/>
          <w:szCs w:val="24"/>
        </w:rPr>
        <w:t xml:space="preserve">dokumentu oraz dokonać oceny czy projekt dokumentu jest zgodny z zasadą zrównoważonego rozwoju, a także dokonać oceny pozytywnych i negatywnych </w:t>
      </w:r>
      <w:r w:rsidR="001106C7" w:rsidRPr="005F7ADF">
        <w:rPr>
          <w:rFonts w:ascii="Garamond" w:hAnsi="Garamond"/>
          <w:sz w:val="24"/>
          <w:szCs w:val="24"/>
        </w:rPr>
        <w:br/>
      </w:r>
      <w:r w:rsidRPr="005F7ADF">
        <w:rPr>
          <w:rFonts w:ascii="Garamond" w:hAnsi="Garamond"/>
          <w:sz w:val="24"/>
          <w:szCs w:val="24"/>
        </w:rPr>
        <w:t xml:space="preserve">lub obojętnych skutków dla środowiska wynikających z realizacji </w:t>
      </w:r>
      <w:r w:rsidR="00317500" w:rsidRPr="005F7ADF">
        <w:rPr>
          <w:rFonts w:ascii="Garamond" w:hAnsi="Garamond"/>
          <w:sz w:val="24"/>
          <w:szCs w:val="24"/>
        </w:rPr>
        <w:t xml:space="preserve">projektu </w:t>
      </w:r>
      <w:r w:rsidRPr="005F7ADF">
        <w:rPr>
          <w:rFonts w:ascii="Garamond" w:hAnsi="Garamond"/>
          <w:sz w:val="24"/>
          <w:szCs w:val="24"/>
        </w:rPr>
        <w:t>dokumentu.</w:t>
      </w:r>
    </w:p>
    <w:p w:rsidR="00090730" w:rsidRPr="005F7ADF" w:rsidRDefault="00090730" w:rsidP="00506E0C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W prognozie należy przeanalizować, czy i w jakim stopniu realizacja dokumentu będzie oddziaływać na wartości przyrodnicze form ochrony przyrody, w rozumieniu art. 6 ust. 1 ustawy z dnia 16 kwietnia 2004</w:t>
      </w:r>
      <w:r w:rsidR="00370955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r. o ochronie przyrody (</w:t>
      </w:r>
      <w:proofErr w:type="spellStart"/>
      <w:r w:rsidR="002344B0" w:rsidRPr="005F7ADF">
        <w:rPr>
          <w:rFonts w:ascii="Garamond" w:hAnsi="Garamond"/>
          <w:sz w:val="24"/>
          <w:szCs w:val="24"/>
        </w:rPr>
        <w:t>t.j</w:t>
      </w:r>
      <w:proofErr w:type="spellEnd"/>
      <w:r w:rsidR="002344B0" w:rsidRPr="005F7ADF">
        <w:rPr>
          <w:rFonts w:ascii="Garamond" w:hAnsi="Garamond"/>
          <w:sz w:val="24"/>
          <w:szCs w:val="24"/>
        </w:rPr>
        <w:t xml:space="preserve">. </w:t>
      </w:r>
      <w:r w:rsidRPr="005F7ADF">
        <w:rPr>
          <w:rFonts w:ascii="Garamond" w:hAnsi="Garamond"/>
          <w:sz w:val="24"/>
          <w:szCs w:val="24"/>
        </w:rPr>
        <w:t>Dz. U. z 202</w:t>
      </w:r>
      <w:r w:rsidR="004A0601" w:rsidRPr="005F7ADF">
        <w:rPr>
          <w:rFonts w:ascii="Garamond" w:hAnsi="Garamond"/>
          <w:sz w:val="24"/>
          <w:szCs w:val="24"/>
        </w:rPr>
        <w:t>1</w:t>
      </w:r>
      <w:r w:rsidRPr="005F7ADF">
        <w:rPr>
          <w:rFonts w:ascii="Garamond" w:hAnsi="Garamond"/>
          <w:sz w:val="24"/>
          <w:szCs w:val="24"/>
        </w:rPr>
        <w:t xml:space="preserve"> r., poz. </w:t>
      </w:r>
      <w:r w:rsidR="004A0601" w:rsidRPr="005F7ADF">
        <w:rPr>
          <w:rFonts w:ascii="Garamond" w:hAnsi="Garamond"/>
          <w:sz w:val="24"/>
          <w:szCs w:val="24"/>
        </w:rPr>
        <w:t>1098</w:t>
      </w:r>
      <w:r w:rsidRPr="005F7ADF">
        <w:rPr>
          <w:rFonts w:ascii="Garamond" w:hAnsi="Garamond"/>
          <w:sz w:val="24"/>
          <w:szCs w:val="24"/>
        </w:rPr>
        <w:t>) znajdujących się w granicach opracowania, w kontekście obowiązujących na ich terenie celów ochrony,</w:t>
      </w:r>
      <w:r w:rsidR="005678F5" w:rsidRPr="005F7ADF">
        <w:rPr>
          <w:rFonts w:ascii="Garamond" w:hAnsi="Garamond"/>
          <w:sz w:val="24"/>
          <w:szCs w:val="24"/>
        </w:rPr>
        <w:t xml:space="preserve"> działań w zakresie czynnej ochrony ekosystemów</w:t>
      </w:r>
      <w:r w:rsidR="00550C2B" w:rsidRPr="005F7ADF">
        <w:rPr>
          <w:rFonts w:ascii="Garamond" w:hAnsi="Garamond"/>
          <w:sz w:val="24"/>
          <w:szCs w:val="24"/>
        </w:rPr>
        <w:t>,</w:t>
      </w:r>
      <w:r w:rsidRPr="005F7ADF">
        <w:rPr>
          <w:rFonts w:ascii="Garamond" w:hAnsi="Garamond"/>
          <w:sz w:val="24"/>
          <w:szCs w:val="24"/>
        </w:rPr>
        <w:t xml:space="preserve"> zakazów</w:t>
      </w:r>
      <w:r w:rsidR="004272AA" w:rsidRPr="005F7ADF">
        <w:rPr>
          <w:rFonts w:ascii="Garamond" w:hAnsi="Garamond"/>
          <w:sz w:val="24"/>
          <w:szCs w:val="24"/>
        </w:rPr>
        <w:t xml:space="preserve"> </w:t>
      </w:r>
      <w:r w:rsidR="000B66A5" w:rsidRPr="005F7ADF">
        <w:rPr>
          <w:rFonts w:ascii="Garamond" w:hAnsi="Garamond"/>
          <w:sz w:val="24"/>
          <w:szCs w:val="24"/>
        </w:rPr>
        <w:t xml:space="preserve">oraz możliwości zastosowania odstępstw od zakazów </w:t>
      </w:r>
      <w:r w:rsidRPr="005F7ADF">
        <w:rPr>
          <w:rFonts w:ascii="Garamond" w:hAnsi="Garamond"/>
          <w:sz w:val="24"/>
          <w:szCs w:val="24"/>
        </w:rPr>
        <w:t>wynikających z aktów prawnych obowiązujących d</w:t>
      </w:r>
      <w:r w:rsidR="00550C2B" w:rsidRPr="005F7ADF">
        <w:rPr>
          <w:rFonts w:ascii="Garamond" w:hAnsi="Garamond"/>
          <w:sz w:val="24"/>
          <w:szCs w:val="24"/>
        </w:rPr>
        <w:t>la danej formy ochrony przyrody</w:t>
      </w:r>
      <w:r w:rsidRPr="005F7ADF">
        <w:rPr>
          <w:rFonts w:ascii="Garamond" w:hAnsi="Garamond"/>
          <w:sz w:val="24"/>
          <w:szCs w:val="24"/>
        </w:rPr>
        <w:t xml:space="preserve">. </w:t>
      </w:r>
    </w:p>
    <w:p w:rsidR="00090730" w:rsidRPr="005F7ADF" w:rsidRDefault="00090730" w:rsidP="001106C7">
      <w:pPr>
        <w:pStyle w:val="Akapitzlist"/>
        <w:numPr>
          <w:ilvl w:val="0"/>
          <w:numId w:val="2"/>
        </w:numPr>
        <w:spacing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Prognoza powinna zawierać: </w:t>
      </w:r>
    </w:p>
    <w:p w:rsidR="00090730" w:rsidRPr="005F7ADF" w:rsidRDefault="00090730" w:rsidP="001106C7">
      <w:pPr>
        <w:pStyle w:val="Akapitzlist"/>
        <w:spacing w:line="276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- dla obszarów specjalnej ochrony ptaków Natura 2000 - analizę wpływu realizacji ustaleń projektu (…) na gatunki ptaków i ich sie</w:t>
      </w:r>
      <w:r w:rsidR="001106C7" w:rsidRPr="005F7ADF">
        <w:rPr>
          <w:rFonts w:ascii="Garamond" w:hAnsi="Garamond"/>
          <w:sz w:val="24"/>
          <w:szCs w:val="24"/>
        </w:rPr>
        <w:t xml:space="preserve">dliska wymienione w załączniku </w:t>
      </w:r>
      <w:r w:rsidRPr="005F7ADF">
        <w:rPr>
          <w:rFonts w:ascii="Garamond" w:hAnsi="Garamond"/>
          <w:sz w:val="24"/>
          <w:szCs w:val="24"/>
        </w:rPr>
        <w:t>nr 2 rozporządzenia Ministra Środowiska z dnia 12 stycznia 2011</w:t>
      </w:r>
      <w:r w:rsidR="007C1456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 xml:space="preserve">r. w sprawie obszarów specjalnej ochrony ptaków (Dz. U. Nr 25, poz. 133, z </w:t>
      </w:r>
      <w:proofErr w:type="spellStart"/>
      <w:r w:rsidRPr="005F7ADF">
        <w:rPr>
          <w:rFonts w:ascii="Garamond" w:hAnsi="Garamond"/>
          <w:sz w:val="24"/>
          <w:szCs w:val="24"/>
        </w:rPr>
        <w:t>późn</w:t>
      </w:r>
      <w:proofErr w:type="spellEnd"/>
      <w:r w:rsidRPr="005F7ADF">
        <w:rPr>
          <w:rFonts w:ascii="Garamond" w:hAnsi="Garamond"/>
          <w:sz w:val="24"/>
          <w:szCs w:val="24"/>
        </w:rPr>
        <w:t xml:space="preserve">. zm.), w szczególności należy określić wpływ realizacji ustaleń </w:t>
      </w:r>
      <w:r w:rsidR="005678F5" w:rsidRPr="005F7ADF">
        <w:rPr>
          <w:rFonts w:ascii="Garamond" w:hAnsi="Garamond"/>
          <w:sz w:val="24"/>
          <w:szCs w:val="24"/>
        </w:rPr>
        <w:t xml:space="preserve">projektu </w:t>
      </w:r>
      <w:r w:rsidR="00E75BCF" w:rsidRPr="005F7ADF">
        <w:rPr>
          <w:rFonts w:ascii="Garamond" w:hAnsi="Garamond"/>
          <w:sz w:val="24"/>
          <w:szCs w:val="24"/>
        </w:rPr>
        <w:t>Planu (…)</w:t>
      </w:r>
      <w:r w:rsidRPr="005F7ADF">
        <w:rPr>
          <w:rFonts w:ascii="Garamond" w:hAnsi="Garamond"/>
          <w:sz w:val="24"/>
          <w:szCs w:val="24"/>
        </w:rPr>
        <w:t xml:space="preserve"> na właściwy stan zachowani</w:t>
      </w:r>
      <w:r w:rsidR="00550C2B" w:rsidRPr="005F7ADF">
        <w:rPr>
          <w:rFonts w:ascii="Garamond" w:hAnsi="Garamond"/>
          <w:sz w:val="24"/>
          <w:szCs w:val="24"/>
        </w:rPr>
        <w:t xml:space="preserve">a tych gatunków i ich siedlisk oraz </w:t>
      </w:r>
      <w:r w:rsidRPr="005F7ADF">
        <w:rPr>
          <w:rFonts w:ascii="Garamond" w:hAnsi="Garamond"/>
          <w:sz w:val="24"/>
          <w:szCs w:val="24"/>
        </w:rPr>
        <w:t>powiązan</w:t>
      </w:r>
      <w:r w:rsidR="00C467C2" w:rsidRPr="005F7ADF">
        <w:rPr>
          <w:rFonts w:ascii="Garamond" w:hAnsi="Garamond"/>
          <w:sz w:val="24"/>
          <w:szCs w:val="24"/>
        </w:rPr>
        <w:t>ia</w:t>
      </w:r>
      <w:r w:rsidRPr="005F7ADF">
        <w:rPr>
          <w:rFonts w:ascii="Garamond" w:hAnsi="Garamond"/>
          <w:sz w:val="24"/>
          <w:szCs w:val="24"/>
        </w:rPr>
        <w:t xml:space="preserve"> między obszarami,</w:t>
      </w:r>
    </w:p>
    <w:p w:rsidR="00090730" w:rsidRPr="005F7ADF" w:rsidRDefault="00090730" w:rsidP="001106C7">
      <w:pPr>
        <w:pStyle w:val="Akapitzlist"/>
        <w:spacing w:line="276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- dla specjalnych obszarów ochrony siedlisk Natura 2000 - analizę wpływu realizacji ustaleń </w:t>
      </w:r>
      <w:r w:rsidR="00E75BCF" w:rsidRPr="005F7ADF">
        <w:rPr>
          <w:rFonts w:ascii="Garamond" w:hAnsi="Garamond"/>
          <w:sz w:val="24"/>
          <w:szCs w:val="24"/>
        </w:rPr>
        <w:t>projektu dokumentu</w:t>
      </w:r>
      <w:r w:rsidRPr="005F7ADF">
        <w:rPr>
          <w:rFonts w:ascii="Garamond" w:hAnsi="Garamond"/>
          <w:sz w:val="24"/>
          <w:szCs w:val="24"/>
        </w:rPr>
        <w:t xml:space="preserve"> na siedliska przyrodnicze</w:t>
      </w:r>
      <w:r w:rsidR="00861BE8" w:rsidRPr="005F7ADF">
        <w:rPr>
          <w:rFonts w:ascii="Garamond" w:hAnsi="Garamond"/>
          <w:sz w:val="24"/>
          <w:szCs w:val="24"/>
        </w:rPr>
        <w:t>,</w:t>
      </w:r>
      <w:r w:rsidRPr="005F7ADF">
        <w:rPr>
          <w:rFonts w:ascii="Garamond" w:hAnsi="Garamond"/>
          <w:sz w:val="24"/>
          <w:szCs w:val="24"/>
        </w:rPr>
        <w:t xml:space="preserve"> gatunki zwierząt </w:t>
      </w:r>
      <w:r w:rsidR="00861BE8" w:rsidRPr="005F7ADF">
        <w:rPr>
          <w:rFonts w:ascii="Garamond" w:hAnsi="Garamond"/>
          <w:sz w:val="24"/>
          <w:szCs w:val="24"/>
        </w:rPr>
        <w:t xml:space="preserve">i roślin </w:t>
      </w:r>
      <w:r w:rsidRPr="005F7ADF">
        <w:rPr>
          <w:rFonts w:ascii="Garamond" w:hAnsi="Garamond"/>
          <w:sz w:val="24"/>
          <w:szCs w:val="24"/>
        </w:rPr>
        <w:t>wymienione</w:t>
      </w:r>
      <w:r w:rsidR="00E75BCF" w:rsidRPr="005F7ADF">
        <w:rPr>
          <w:rFonts w:ascii="Garamond" w:hAnsi="Garamond"/>
          <w:sz w:val="24"/>
          <w:szCs w:val="24"/>
        </w:rPr>
        <w:t xml:space="preserve"> </w:t>
      </w:r>
      <w:r w:rsidR="00C821E8" w:rsidRPr="005F7ADF">
        <w:rPr>
          <w:rFonts w:ascii="Garamond" w:hAnsi="Garamond"/>
          <w:sz w:val="24"/>
          <w:szCs w:val="24"/>
        </w:rPr>
        <w:t>w </w:t>
      </w:r>
      <w:r w:rsidRPr="005F7ADF">
        <w:rPr>
          <w:rFonts w:ascii="Garamond" w:hAnsi="Garamond"/>
          <w:sz w:val="24"/>
          <w:szCs w:val="24"/>
        </w:rPr>
        <w:t>rozporządzeniu Ministra Środowiska z dnia 13 kwietnia 2010</w:t>
      </w:r>
      <w:r w:rsidR="00310BEB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r. w sprawie siedlisk przyrodniczych oraz gatunków będących przedm</w:t>
      </w:r>
      <w:r w:rsidR="001651E8" w:rsidRPr="005F7ADF">
        <w:rPr>
          <w:rFonts w:ascii="Garamond" w:hAnsi="Garamond"/>
          <w:sz w:val="24"/>
          <w:szCs w:val="24"/>
        </w:rPr>
        <w:t>iotem zainteresowania Wspólnoty,</w:t>
      </w:r>
      <w:r w:rsidR="00E75BCF" w:rsidRPr="005F7ADF">
        <w:rPr>
          <w:rFonts w:ascii="Garamond" w:hAnsi="Garamond"/>
          <w:sz w:val="24"/>
          <w:szCs w:val="24"/>
        </w:rPr>
        <w:t xml:space="preserve"> </w:t>
      </w:r>
      <w:r w:rsidR="001651E8" w:rsidRPr="005F7ADF">
        <w:rPr>
          <w:rFonts w:ascii="Garamond" w:hAnsi="Garamond"/>
          <w:sz w:val="24"/>
          <w:szCs w:val="24"/>
        </w:rPr>
        <w:t xml:space="preserve">a także kryteriów wyboru obszarów kwalifikujących się do uznania lub wyznaczenia jako obszary Natura 2000 </w:t>
      </w:r>
      <w:r w:rsidRPr="005F7ADF">
        <w:rPr>
          <w:rFonts w:ascii="Garamond" w:hAnsi="Garamond"/>
          <w:sz w:val="24"/>
          <w:szCs w:val="24"/>
        </w:rPr>
        <w:t xml:space="preserve">(Dz. U. </w:t>
      </w:r>
      <w:r w:rsidR="001651E8" w:rsidRPr="005F7ADF">
        <w:rPr>
          <w:rFonts w:ascii="Garamond" w:hAnsi="Garamond"/>
          <w:sz w:val="24"/>
          <w:szCs w:val="24"/>
        </w:rPr>
        <w:t>z 2014 r.</w:t>
      </w:r>
      <w:r w:rsidR="00536C09" w:rsidRPr="005F7ADF">
        <w:rPr>
          <w:rFonts w:ascii="Garamond" w:hAnsi="Garamond"/>
          <w:sz w:val="24"/>
          <w:szCs w:val="24"/>
        </w:rPr>
        <w:t>,</w:t>
      </w:r>
      <w:r w:rsidR="001651E8" w:rsidRPr="005F7ADF">
        <w:rPr>
          <w:rFonts w:ascii="Garamond" w:hAnsi="Garamond"/>
          <w:sz w:val="24"/>
          <w:szCs w:val="24"/>
        </w:rPr>
        <w:t xml:space="preserve"> poz. </w:t>
      </w:r>
      <w:r w:rsidR="00861BE8" w:rsidRPr="005F7ADF">
        <w:rPr>
          <w:rFonts w:ascii="Garamond" w:hAnsi="Garamond"/>
          <w:sz w:val="24"/>
          <w:szCs w:val="24"/>
        </w:rPr>
        <w:t>1713</w:t>
      </w:r>
      <w:r w:rsidR="001651E8" w:rsidRPr="005F7ADF">
        <w:rPr>
          <w:rFonts w:ascii="Garamond" w:hAnsi="Garamond"/>
          <w:sz w:val="24"/>
          <w:szCs w:val="24"/>
        </w:rPr>
        <w:t>)</w:t>
      </w:r>
      <w:r w:rsidR="00550C2B" w:rsidRPr="005F7ADF">
        <w:rPr>
          <w:rFonts w:ascii="Garamond" w:hAnsi="Garamond"/>
          <w:sz w:val="24"/>
          <w:szCs w:val="24"/>
        </w:rPr>
        <w:t>,</w:t>
      </w:r>
      <w:r w:rsidR="001651E8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w szczególności opis siedlisk przyrodniczych, gatunków zwierząt i roślin oraz ich siedlisk.</w:t>
      </w:r>
    </w:p>
    <w:p w:rsidR="00090730" w:rsidRPr="005F7ADF" w:rsidRDefault="00261F3B" w:rsidP="001106C7">
      <w:pPr>
        <w:pStyle w:val="Akapitzlist"/>
        <w:spacing w:line="276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Oceny</w:t>
      </w:r>
      <w:r w:rsidR="00090730" w:rsidRPr="005F7ADF">
        <w:rPr>
          <w:rFonts w:ascii="Garamond" w:hAnsi="Garamond"/>
          <w:sz w:val="24"/>
          <w:szCs w:val="24"/>
        </w:rPr>
        <w:t xml:space="preserve"> oddziaływań  na siedliska przyrodnicze</w:t>
      </w:r>
      <w:r w:rsidR="00C467C2" w:rsidRPr="005F7ADF">
        <w:rPr>
          <w:rFonts w:ascii="Garamond" w:hAnsi="Garamond"/>
          <w:sz w:val="24"/>
          <w:szCs w:val="24"/>
        </w:rPr>
        <w:t>, siedliska gatunków</w:t>
      </w:r>
      <w:r w:rsidR="00090730" w:rsidRPr="005F7ADF">
        <w:rPr>
          <w:rFonts w:ascii="Garamond" w:hAnsi="Garamond"/>
          <w:sz w:val="24"/>
          <w:szCs w:val="24"/>
        </w:rPr>
        <w:t xml:space="preserve"> i gatunki należy dokonać w kontekście ich wymagań ekologicznych i zapewnienia właściwego stanu ich ochrony. </w:t>
      </w:r>
    </w:p>
    <w:p w:rsidR="00E16CA9" w:rsidRPr="005F7ADF" w:rsidRDefault="00E16CA9" w:rsidP="001106C7">
      <w:pPr>
        <w:pStyle w:val="Akapitzlist"/>
        <w:spacing w:line="276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Dla części ww</w:t>
      </w:r>
      <w:r w:rsidR="00E75BCF" w:rsidRPr="005F7ADF">
        <w:rPr>
          <w:rFonts w:ascii="Garamond" w:hAnsi="Garamond"/>
          <w:sz w:val="24"/>
          <w:szCs w:val="24"/>
        </w:rPr>
        <w:t>.</w:t>
      </w:r>
      <w:r w:rsidRPr="005F7ADF">
        <w:rPr>
          <w:rFonts w:ascii="Garamond" w:hAnsi="Garamond"/>
          <w:sz w:val="24"/>
          <w:szCs w:val="24"/>
        </w:rPr>
        <w:t xml:space="preserve"> obszarów Natura 2000 obowiązują plany zadań ochronnych, które należy wziąć pod uwagę. W</w:t>
      </w:r>
      <w:r w:rsidRPr="005F7ADF">
        <w:rPr>
          <w:rFonts w:ascii="Garamond" w:eastAsiaTheme="minorEastAsia" w:hAnsi="Garamond" w:cstheme="minorBidi"/>
          <w:sz w:val="24"/>
          <w:szCs w:val="24"/>
        </w:rPr>
        <w:t xml:space="preserve"> ramach opracowywania planów zadań ochronnych dla kolejnych obszarów Natura 2000 zlecono m.in. sporządzenie </w:t>
      </w:r>
      <w:r w:rsidRPr="005F7ADF">
        <w:rPr>
          <w:rFonts w:ascii="Garamond" w:hAnsi="Garamond"/>
          <w:sz w:val="24"/>
          <w:szCs w:val="24"/>
        </w:rPr>
        <w:t>ekspertyz przyrodniczych, które będą się odnosiły m.in. do aktualnego występowania i rozmie</w:t>
      </w:r>
      <w:r w:rsidR="0005352D" w:rsidRPr="005F7ADF">
        <w:rPr>
          <w:rFonts w:ascii="Garamond" w:hAnsi="Garamond"/>
          <w:sz w:val="24"/>
          <w:szCs w:val="24"/>
        </w:rPr>
        <w:t xml:space="preserve">szczenia przedmiotów ochrony </w:t>
      </w:r>
      <w:r w:rsidR="001106C7" w:rsidRPr="005F7ADF">
        <w:rPr>
          <w:rFonts w:ascii="Garamond" w:hAnsi="Garamond"/>
          <w:sz w:val="24"/>
          <w:szCs w:val="24"/>
        </w:rPr>
        <w:br/>
      </w:r>
      <w:r w:rsidR="0005352D" w:rsidRPr="005F7ADF">
        <w:rPr>
          <w:rFonts w:ascii="Garamond" w:hAnsi="Garamond"/>
          <w:sz w:val="24"/>
          <w:szCs w:val="24"/>
        </w:rPr>
        <w:t>w da</w:t>
      </w:r>
      <w:r w:rsidRPr="005F7ADF">
        <w:rPr>
          <w:rFonts w:ascii="Garamond" w:hAnsi="Garamond"/>
          <w:sz w:val="24"/>
          <w:szCs w:val="24"/>
        </w:rPr>
        <w:t>nym obszarze Natura 2000. Jednocześnie informuję, że aktualne dane na temat obowiązujących planów zadań ochronnych, jak również informacje odnośnie prowadzonych prac nad kolejnymi planami, można uzyskać w</w:t>
      </w:r>
      <w:r w:rsidR="00C821E8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tut.</w:t>
      </w:r>
      <w:r w:rsidR="00C821E8" w:rsidRPr="005F7ADF">
        <w:rPr>
          <w:rFonts w:ascii="Garamond" w:hAnsi="Garamond"/>
          <w:sz w:val="24"/>
          <w:szCs w:val="24"/>
        </w:rPr>
        <w:t xml:space="preserve"> Urzędzie </w:t>
      </w:r>
      <w:r w:rsidRPr="005F7ADF">
        <w:rPr>
          <w:rFonts w:ascii="Garamond" w:hAnsi="Garamond"/>
          <w:sz w:val="24"/>
          <w:szCs w:val="24"/>
        </w:rPr>
        <w:t>na zasadach przewidzianych przepisami przywołan</w:t>
      </w:r>
      <w:r w:rsidR="0005352D" w:rsidRPr="005F7ADF">
        <w:rPr>
          <w:rFonts w:ascii="Garamond" w:hAnsi="Garamond"/>
          <w:sz w:val="24"/>
          <w:szCs w:val="24"/>
        </w:rPr>
        <w:t>ej</w:t>
      </w:r>
      <w:r w:rsidRPr="005F7ADF">
        <w:rPr>
          <w:rFonts w:ascii="Garamond" w:hAnsi="Garamond"/>
          <w:sz w:val="24"/>
          <w:szCs w:val="24"/>
        </w:rPr>
        <w:t xml:space="preserve"> na wstępie ustaw</w:t>
      </w:r>
      <w:r w:rsidR="0005352D" w:rsidRPr="005F7ADF">
        <w:rPr>
          <w:rFonts w:ascii="Garamond" w:hAnsi="Garamond"/>
          <w:sz w:val="24"/>
          <w:szCs w:val="24"/>
        </w:rPr>
        <w:t>y</w:t>
      </w:r>
      <w:r w:rsidRPr="005F7ADF">
        <w:rPr>
          <w:rFonts w:ascii="Garamond" w:hAnsi="Garamond"/>
          <w:sz w:val="24"/>
          <w:szCs w:val="24"/>
        </w:rPr>
        <w:t xml:space="preserve"> i wykorzystać na etapie sporządzania prognozy.</w:t>
      </w:r>
    </w:p>
    <w:p w:rsidR="00126BEB" w:rsidRPr="005F7ADF" w:rsidRDefault="00126BEB" w:rsidP="00126BEB">
      <w:pPr>
        <w:pStyle w:val="Akapitzlist"/>
        <w:numPr>
          <w:ilvl w:val="0"/>
          <w:numId w:val="2"/>
        </w:numPr>
        <w:spacing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Biorąc pod uwagę cele i geograficzny zasięg dokumentu z uwzględnieniem celów                       i przedmiotów ochrony obszarów N</w:t>
      </w:r>
      <w:r w:rsidR="00261F3B" w:rsidRPr="005F7ADF">
        <w:rPr>
          <w:rFonts w:ascii="Garamond" w:hAnsi="Garamond"/>
          <w:sz w:val="24"/>
          <w:szCs w:val="24"/>
        </w:rPr>
        <w:t>atura 2000 oraz ich integralności i powiązań</w:t>
      </w:r>
      <w:r w:rsidRPr="005F7ADF">
        <w:rPr>
          <w:rFonts w:ascii="Garamond" w:hAnsi="Garamond"/>
          <w:sz w:val="24"/>
          <w:szCs w:val="24"/>
        </w:rPr>
        <w:t xml:space="preserve"> </w:t>
      </w:r>
      <w:r w:rsidR="009A794A" w:rsidRPr="005F7ADF">
        <w:rPr>
          <w:rFonts w:ascii="Garamond" w:hAnsi="Garamond"/>
          <w:sz w:val="24"/>
          <w:szCs w:val="24"/>
        </w:rPr>
        <w:t xml:space="preserve">             </w:t>
      </w:r>
      <w:r w:rsidRPr="005F7ADF">
        <w:rPr>
          <w:rFonts w:ascii="Garamond" w:hAnsi="Garamond"/>
          <w:sz w:val="24"/>
          <w:szCs w:val="24"/>
        </w:rPr>
        <w:t xml:space="preserve">z innymi obszarami prognoza powinna również przedstawić: </w:t>
      </w:r>
    </w:p>
    <w:p w:rsidR="00126BEB" w:rsidRPr="005F7ADF" w:rsidRDefault="00126BEB" w:rsidP="00126BEB">
      <w:pPr>
        <w:pStyle w:val="Bezodstpw"/>
        <w:numPr>
          <w:ilvl w:val="0"/>
          <w:numId w:val="8"/>
        </w:numPr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lastRenderedPageBreak/>
        <w:t>propozycje dotyczące przewidywanych metod analizy skutków realizacji postanowień   projektowanego dokumentu oraz częstotliwości jej przeprowadzania,</w:t>
      </w:r>
    </w:p>
    <w:p w:rsidR="00126BEB" w:rsidRPr="005F7ADF" w:rsidRDefault="00126BEB" w:rsidP="00132352">
      <w:pPr>
        <w:pStyle w:val="Bezodstpw"/>
        <w:numPr>
          <w:ilvl w:val="0"/>
          <w:numId w:val="8"/>
        </w:numPr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>rozwiązania mające na celu zapobieganie oraz ograniczanie jak również kompensację przyrodniczą</w:t>
      </w:r>
      <w:r w:rsidRPr="005F7ADF">
        <w:rPr>
          <w:rFonts w:ascii="Garamond" w:hAnsi="Garamond"/>
          <w:b/>
          <w:bCs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w przypadku prognozowanych negatywnych oddziaływań na środowisko,        w tym na przyrodę, mogących być rezultatem realizacji dokumentu, które m</w:t>
      </w:r>
      <w:r w:rsidR="00261F3B" w:rsidRPr="005F7ADF">
        <w:rPr>
          <w:rFonts w:ascii="Garamond" w:hAnsi="Garamond"/>
          <w:sz w:val="24"/>
          <w:szCs w:val="24"/>
          <w:lang w:val="pl-PL"/>
        </w:rPr>
        <w:t>uszą być poprzedzone szczegółowymi analizami</w:t>
      </w:r>
      <w:r w:rsidRPr="005F7ADF">
        <w:rPr>
          <w:rFonts w:ascii="Garamond" w:hAnsi="Garamond"/>
          <w:sz w:val="24"/>
          <w:szCs w:val="24"/>
          <w:lang w:val="pl-PL"/>
        </w:rPr>
        <w:t xml:space="preserve"> oraz poparte wnioskami z tych analiz, </w:t>
      </w:r>
    </w:p>
    <w:p w:rsidR="00126BEB" w:rsidRPr="005F7ADF" w:rsidRDefault="00126BEB" w:rsidP="00132352">
      <w:pPr>
        <w:pStyle w:val="Bezodstpw"/>
        <w:numPr>
          <w:ilvl w:val="0"/>
          <w:numId w:val="8"/>
        </w:numPr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t xml:space="preserve">rozwiązania alternatywne do rozwiązań zawartych w projektowanym dokumencie wraz </w:t>
      </w:r>
      <w:r w:rsidRPr="005F7ADF">
        <w:rPr>
          <w:rFonts w:ascii="Garamond" w:hAnsi="Garamond"/>
          <w:sz w:val="24"/>
          <w:szCs w:val="24"/>
          <w:lang w:val="pl-PL"/>
        </w:rPr>
        <w:br/>
        <w:t xml:space="preserve">z uzasadnieniem ich wyboru oraz opis metod dokonania oceny prowadzącej do tego wyboru albo wyjaśnienie braku takich rozwiązań alternatywnych, w tym wskazania napotykanych trudności wynikających z niedostatków techniki lub luk we współczesnej wiedzy. </w:t>
      </w:r>
    </w:p>
    <w:p w:rsidR="00C95203" w:rsidRPr="005F7ADF" w:rsidRDefault="00C95203" w:rsidP="00132352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W kwestii ochrony krajobrazu należy ocenić wpływ ustaleń projektu dokumentu na krajobraz, mając na uwadze potrzebę ochrony</w:t>
      </w:r>
      <w:r w:rsidR="00F520D5" w:rsidRPr="005F7ADF">
        <w:rPr>
          <w:rFonts w:ascii="Garamond" w:hAnsi="Garamond"/>
          <w:sz w:val="24"/>
          <w:szCs w:val="24"/>
        </w:rPr>
        <w:t xml:space="preserve"> krajobrazu</w:t>
      </w:r>
      <w:r w:rsidRPr="005F7ADF">
        <w:rPr>
          <w:rFonts w:ascii="Garamond" w:hAnsi="Garamond"/>
          <w:sz w:val="24"/>
          <w:szCs w:val="24"/>
        </w:rPr>
        <w:t xml:space="preserve"> oraz konieczność prowadzenia działań na rzecz zachowania i utrzymania ważnych lub charakterystycznych cech krajobrazu tak, aby ukierunkować i harmonizować zmiany wynikające z procesów społecznych, gospodarczych i środowiskowych. </w:t>
      </w:r>
    </w:p>
    <w:p w:rsidR="00C95203" w:rsidRPr="005F7ADF" w:rsidRDefault="0053170A" w:rsidP="008342B4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W prognozie należy ocenić i przeanalizować wpływ planowanych zadań wskazanych </w:t>
      </w:r>
      <w:r w:rsidR="00681704" w:rsidRPr="005F7ADF">
        <w:rPr>
          <w:rFonts w:ascii="Garamond" w:hAnsi="Garamond"/>
          <w:sz w:val="24"/>
          <w:szCs w:val="24"/>
        </w:rPr>
        <w:br/>
      </w:r>
      <w:r w:rsidRPr="005F7ADF">
        <w:rPr>
          <w:rFonts w:ascii="Garamond" w:hAnsi="Garamond"/>
          <w:sz w:val="24"/>
          <w:szCs w:val="24"/>
        </w:rPr>
        <w:t>w projekcie dokumentu na klimat (w tym mikroklimat), w szczególności na kształtowanie się warunków termicznych, anemometrycznych</w:t>
      </w:r>
      <w:r w:rsidR="00CC101E" w:rsidRPr="005F7ADF">
        <w:rPr>
          <w:rFonts w:ascii="Garamond" w:hAnsi="Garamond"/>
          <w:sz w:val="24"/>
          <w:szCs w:val="24"/>
        </w:rPr>
        <w:t xml:space="preserve"> i</w:t>
      </w:r>
      <w:r w:rsidRPr="005F7ADF">
        <w:rPr>
          <w:rFonts w:ascii="Garamond" w:hAnsi="Garamond"/>
          <w:sz w:val="24"/>
          <w:szCs w:val="24"/>
        </w:rPr>
        <w:t xml:space="preserve"> wilgotnościowych</w:t>
      </w:r>
      <w:r w:rsidR="00CC101E" w:rsidRPr="005F7ADF">
        <w:rPr>
          <w:rFonts w:ascii="Garamond" w:hAnsi="Garamond"/>
          <w:sz w:val="24"/>
          <w:szCs w:val="24"/>
        </w:rPr>
        <w:t>. Należy uwzględnić możliwość realizacji działań adaptacyjnych do zmian klimatu uwzględniających m.in. ochronę struktur przyrodniczych, zachowanie spójności i drożności sieci ekologicznej, przeciwdziałanie wzrostowi temperatur i jego skutkom.</w:t>
      </w:r>
      <w:r w:rsidRPr="005F7ADF">
        <w:rPr>
          <w:rFonts w:ascii="Garamond" w:hAnsi="Garamond"/>
          <w:sz w:val="24"/>
          <w:szCs w:val="24"/>
        </w:rPr>
        <w:t xml:space="preserve"> </w:t>
      </w:r>
      <w:r w:rsidR="00CC101E" w:rsidRPr="005F7ADF">
        <w:rPr>
          <w:rFonts w:ascii="Garamond" w:hAnsi="Garamond"/>
          <w:sz w:val="24"/>
          <w:szCs w:val="24"/>
        </w:rPr>
        <w:t>W ocenie wskazane jest uwzględnienie zaleceń zawartych w opracowaniu „Strategiczny plan adaptacyjny dla sektorów i obszarów wrażliwych na zmiany klimatu do roku 2020 z perspektywą do roku 2030</w:t>
      </w:r>
      <w:r w:rsidR="00D25FD7" w:rsidRPr="005F7ADF">
        <w:rPr>
          <w:rFonts w:ascii="Garamond" w:hAnsi="Garamond"/>
          <w:sz w:val="24"/>
          <w:szCs w:val="24"/>
        </w:rPr>
        <w:t>.</w:t>
      </w:r>
      <w:r w:rsidR="00CC101E" w:rsidRPr="005F7ADF">
        <w:rPr>
          <w:rFonts w:ascii="Garamond" w:hAnsi="Garamond"/>
          <w:sz w:val="24"/>
          <w:szCs w:val="24"/>
        </w:rPr>
        <w:t>”</w:t>
      </w:r>
    </w:p>
    <w:p w:rsidR="007B51C0" w:rsidRPr="005F7ADF" w:rsidRDefault="00150413" w:rsidP="008342B4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W zakresie </w:t>
      </w:r>
      <w:r w:rsidR="00CB2238" w:rsidRPr="005F7ADF">
        <w:rPr>
          <w:rFonts w:ascii="Garamond" w:hAnsi="Garamond"/>
          <w:sz w:val="24"/>
          <w:szCs w:val="24"/>
        </w:rPr>
        <w:t>klimatu</w:t>
      </w:r>
      <w:r w:rsidRPr="005F7ADF">
        <w:rPr>
          <w:rFonts w:ascii="Garamond" w:hAnsi="Garamond"/>
          <w:sz w:val="24"/>
          <w:szCs w:val="24"/>
        </w:rPr>
        <w:t xml:space="preserve"> akustycznego w prognozie należy dokonać </w:t>
      </w:r>
      <w:r w:rsidR="00842696" w:rsidRPr="005F7ADF">
        <w:rPr>
          <w:rFonts w:ascii="Garamond" w:hAnsi="Garamond"/>
          <w:sz w:val="24"/>
          <w:szCs w:val="24"/>
        </w:rPr>
        <w:t xml:space="preserve">analizy i </w:t>
      </w:r>
      <w:r w:rsidRPr="005F7ADF">
        <w:rPr>
          <w:rFonts w:ascii="Garamond" w:hAnsi="Garamond"/>
          <w:sz w:val="24"/>
          <w:szCs w:val="24"/>
        </w:rPr>
        <w:t>oceny</w:t>
      </w:r>
      <w:r w:rsidR="00024672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istniejącego stanu środowiska</w:t>
      </w:r>
      <w:r w:rsidR="00024672" w:rsidRPr="005F7ADF">
        <w:rPr>
          <w:rFonts w:ascii="Garamond" w:hAnsi="Garamond"/>
          <w:sz w:val="24"/>
          <w:szCs w:val="24"/>
        </w:rPr>
        <w:t xml:space="preserve"> oraz </w:t>
      </w:r>
      <w:r w:rsidR="00261F3B" w:rsidRPr="005F7ADF">
        <w:rPr>
          <w:rFonts w:ascii="Garamond" w:hAnsi="Garamond"/>
          <w:sz w:val="24"/>
          <w:szCs w:val="24"/>
        </w:rPr>
        <w:t>przeanalizować wpływ realizacji ustaleń Planu na klimat akustyczny, a tak</w:t>
      </w:r>
      <w:r w:rsidR="00833F25" w:rsidRPr="005F7ADF">
        <w:rPr>
          <w:rFonts w:ascii="Garamond" w:hAnsi="Garamond"/>
          <w:sz w:val="24"/>
          <w:szCs w:val="24"/>
        </w:rPr>
        <w:t>że</w:t>
      </w:r>
      <w:r w:rsidR="00261F3B" w:rsidRPr="005F7ADF">
        <w:rPr>
          <w:rFonts w:ascii="Garamond" w:hAnsi="Garamond"/>
          <w:sz w:val="24"/>
          <w:szCs w:val="24"/>
        </w:rPr>
        <w:t xml:space="preserve"> p</w:t>
      </w:r>
      <w:r w:rsidR="00024672" w:rsidRPr="005F7ADF">
        <w:rPr>
          <w:rFonts w:ascii="Garamond" w:hAnsi="Garamond"/>
          <w:sz w:val="24"/>
          <w:szCs w:val="24"/>
        </w:rPr>
        <w:t>rzedstawić</w:t>
      </w:r>
      <w:r w:rsidR="00261F3B" w:rsidRPr="005F7ADF">
        <w:rPr>
          <w:rFonts w:ascii="Garamond" w:hAnsi="Garamond"/>
          <w:sz w:val="24"/>
          <w:szCs w:val="24"/>
        </w:rPr>
        <w:t xml:space="preserve"> działania zapobiegające wystąpieniu</w:t>
      </w:r>
      <w:r w:rsidR="00024672" w:rsidRPr="005F7ADF">
        <w:rPr>
          <w:rFonts w:ascii="Garamond" w:hAnsi="Garamond"/>
          <w:sz w:val="24"/>
          <w:szCs w:val="24"/>
        </w:rPr>
        <w:t xml:space="preserve"> ponadnormatywnych </w:t>
      </w:r>
      <w:r w:rsidR="00261F3B" w:rsidRPr="005F7ADF">
        <w:rPr>
          <w:rFonts w:ascii="Garamond" w:hAnsi="Garamond"/>
          <w:sz w:val="24"/>
          <w:szCs w:val="24"/>
        </w:rPr>
        <w:t>oddziaływań</w:t>
      </w:r>
      <w:r w:rsidR="00833F25" w:rsidRPr="005F7ADF">
        <w:rPr>
          <w:rFonts w:ascii="Garamond" w:hAnsi="Garamond"/>
          <w:sz w:val="24"/>
          <w:szCs w:val="24"/>
        </w:rPr>
        <w:t xml:space="preserve">, </w:t>
      </w:r>
      <w:r w:rsidR="00833F25" w:rsidRPr="005F7ADF">
        <w:rPr>
          <w:rFonts w:ascii="Garamond" w:hAnsi="Garamond"/>
          <w:bCs/>
          <w:sz w:val="24"/>
          <w:szCs w:val="24"/>
        </w:rPr>
        <w:t xml:space="preserve">w odniesieniu do </w:t>
      </w:r>
      <w:r w:rsidR="00833F25" w:rsidRPr="005F7ADF">
        <w:rPr>
          <w:rFonts w:ascii="Garamond" w:hAnsi="Garamond"/>
          <w:sz w:val="24"/>
          <w:szCs w:val="24"/>
        </w:rPr>
        <w:t>rozporządzenia Ministra Środowiska z dnia 14 czerwca 2007 r. w sprawie dopuszczalnych poziomów hałasu w środowisku (Dz. U. z 2014 r., poz. 112)</w:t>
      </w:r>
      <w:r w:rsidR="00261F3B" w:rsidRPr="005F7ADF">
        <w:rPr>
          <w:rFonts w:ascii="Garamond" w:hAnsi="Garamond"/>
          <w:sz w:val="24"/>
          <w:szCs w:val="24"/>
        </w:rPr>
        <w:t xml:space="preserve"> </w:t>
      </w:r>
      <w:r w:rsidR="00024672" w:rsidRPr="005F7ADF">
        <w:rPr>
          <w:rFonts w:ascii="Garamond" w:hAnsi="Garamond"/>
          <w:sz w:val="24"/>
          <w:szCs w:val="24"/>
        </w:rPr>
        <w:t>na obszarach podlegających ochronie</w:t>
      </w:r>
      <w:r w:rsidRPr="005F7ADF">
        <w:rPr>
          <w:rFonts w:ascii="Garamond" w:hAnsi="Garamond"/>
          <w:sz w:val="24"/>
          <w:szCs w:val="24"/>
        </w:rPr>
        <w:t xml:space="preserve">. </w:t>
      </w:r>
      <w:r w:rsidR="008342B4" w:rsidRPr="005F7ADF">
        <w:rPr>
          <w:rFonts w:ascii="Garamond" w:hAnsi="Garamond"/>
          <w:sz w:val="24"/>
          <w:szCs w:val="24"/>
        </w:rPr>
        <w:t xml:space="preserve">Należy </w:t>
      </w:r>
      <w:r w:rsidRPr="005F7ADF">
        <w:rPr>
          <w:rFonts w:ascii="Garamond" w:hAnsi="Garamond"/>
          <w:sz w:val="24"/>
          <w:szCs w:val="24"/>
        </w:rPr>
        <w:t>odnieść się do wszystkich źródeł hałasu, których funkcjonowanie powoduje istotne oddziaływanie</w:t>
      </w:r>
      <w:r w:rsidR="00842696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na klimat akustyczny</w:t>
      </w:r>
      <w:r w:rsidR="008342B4" w:rsidRPr="005F7ADF">
        <w:rPr>
          <w:rFonts w:ascii="Garamond" w:hAnsi="Garamond"/>
          <w:sz w:val="24"/>
          <w:szCs w:val="24"/>
        </w:rPr>
        <w:t xml:space="preserve"> oraz zaproponować działania, mające na celu dotrzymanie standardów jakości środowiska.</w:t>
      </w:r>
      <w:r w:rsidR="008E5968" w:rsidRPr="005F7ADF">
        <w:rPr>
          <w:rFonts w:ascii="Garamond" w:hAnsi="Garamond"/>
          <w:sz w:val="24"/>
          <w:szCs w:val="24"/>
        </w:rPr>
        <w:t xml:space="preserve"> </w:t>
      </w:r>
    </w:p>
    <w:p w:rsidR="00A7420A" w:rsidRPr="005F7ADF" w:rsidRDefault="00A7420A" w:rsidP="00CB2238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W ocenie dotyczącej ochrony powietrza należy wziąć pod uwagę zapisy „Programu ochrony powietrza dla województwa świętokrzyskiego wraz z planem działań krótkoterminowych” (uchwała Sejmiku Województwa Świętokrzyskiego</w:t>
      </w:r>
      <w:r w:rsidR="00506E0C" w:rsidRPr="005F7ADF">
        <w:rPr>
          <w:rFonts w:ascii="Garamond" w:hAnsi="Garamond"/>
          <w:sz w:val="24"/>
          <w:szCs w:val="24"/>
        </w:rPr>
        <w:t xml:space="preserve"> </w:t>
      </w:r>
      <w:r w:rsidR="00CB2238" w:rsidRPr="005F7ADF">
        <w:rPr>
          <w:rFonts w:ascii="Garamond" w:hAnsi="Garamond"/>
          <w:sz w:val="24"/>
          <w:szCs w:val="24"/>
        </w:rPr>
        <w:t>N</w:t>
      </w:r>
      <w:r w:rsidRPr="005F7ADF">
        <w:rPr>
          <w:rFonts w:ascii="Garamond" w:hAnsi="Garamond"/>
          <w:sz w:val="24"/>
          <w:szCs w:val="24"/>
        </w:rPr>
        <w:t>r</w:t>
      </w:r>
      <w:r w:rsidR="00A5488D" w:rsidRPr="005F7ADF">
        <w:rPr>
          <w:rFonts w:ascii="Garamond" w:hAnsi="Garamond"/>
          <w:sz w:val="24"/>
          <w:szCs w:val="24"/>
        </w:rPr>
        <w:t> </w:t>
      </w:r>
      <w:r w:rsidRPr="005F7ADF">
        <w:rPr>
          <w:rFonts w:ascii="Garamond" w:hAnsi="Garamond"/>
          <w:sz w:val="24"/>
          <w:szCs w:val="24"/>
        </w:rPr>
        <w:t xml:space="preserve">XXII/291/20 z dnia 29 czerwca 2020 r. – Dz. Urz. Woj. </w:t>
      </w:r>
      <w:proofErr w:type="spellStart"/>
      <w:r w:rsidRPr="005F7ADF">
        <w:rPr>
          <w:rFonts w:ascii="Garamond" w:hAnsi="Garamond"/>
          <w:sz w:val="24"/>
          <w:szCs w:val="24"/>
        </w:rPr>
        <w:t>Święt</w:t>
      </w:r>
      <w:proofErr w:type="spellEnd"/>
      <w:r w:rsidRPr="005F7ADF">
        <w:rPr>
          <w:rFonts w:ascii="Garamond" w:hAnsi="Garamond"/>
          <w:sz w:val="24"/>
          <w:szCs w:val="24"/>
        </w:rPr>
        <w:t>. poz. 2615)</w:t>
      </w:r>
      <w:r w:rsidR="00BC3BB3" w:rsidRPr="005F7ADF">
        <w:rPr>
          <w:rFonts w:ascii="Garamond" w:hAnsi="Garamond"/>
          <w:sz w:val="24"/>
          <w:szCs w:val="24"/>
        </w:rPr>
        <w:t>,</w:t>
      </w:r>
      <w:r w:rsidR="00952FE9" w:rsidRPr="005F7ADF">
        <w:rPr>
          <w:rFonts w:ascii="Garamond" w:hAnsi="Garamond"/>
          <w:sz w:val="24"/>
          <w:szCs w:val="24"/>
        </w:rPr>
        <w:t xml:space="preserve"> </w:t>
      </w:r>
      <w:r w:rsidRPr="005F7ADF">
        <w:rPr>
          <w:rFonts w:ascii="Garamond" w:hAnsi="Garamond"/>
          <w:sz w:val="24"/>
          <w:szCs w:val="24"/>
        </w:rPr>
        <w:t>w zakresie działań naprawczych. W prognozie należy określić, przeanalizować i ocenić przewidywane znaczące oddziaływania</w:t>
      </w:r>
      <w:r w:rsidR="00275337" w:rsidRPr="005F7ADF">
        <w:rPr>
          <w:rFonts w:ascii="Garamond" w:hAnsi="Garamond"/>
          <w:sz w:val="24"/>
          <w:szCs w:val="24"/>
        </w:rPr>
        <w:t xml:space="preserve"> związane z realizacją ustaleń Planu</w:t>
      </w:r>
      <w:r w:rsidRPr="005F7ADF">
        <w:rPr>
          <w:rFonts w:ascii="Garamond" w:hAnsi="Garamond"/>
          <w:sz w:val="24"/>
          <w:szCs w:val="24"/>
        </w:rPr>
        <w:t xml:space="preserve"> na stan powietrza oraz zaproponować rozwiązania mające na celu zapobieganie i ograniczenie negatywnych oddziaływań na </w:t>
      </w:r>
      <w:r w:rsidR="00125757" w:rsidRPr="005F7ADF">
        <w:rPr>
          <w:rFonts w:ascii="Garamond" w:hAnsi="Garamond"/>
          <w:sz w:val="24"/>
          <w:szCs w:val="24"/>
        </w:rPr>
        <w:t xml:space="preserve">jakość </w:t>
      </w:r>
      <w:r w:rsidRPr="005F7ADF">
        <w:rPr>
          <w:rFonts w:ascii="Garamond" w:hAnsi="Garamond"/>
          <w:sz w:val="24"/>
          <w:szCs w:val="24"/>
        </w:rPr>
        <w:t>powietrz</w:t>
      </w:r>
      <w:r w:rsidR="00125757" w:rsidRPr="005F7ADF">
        <w:rPr>
          <w:rFonts w:ascii="Garamond" w:hAnsi="Garamond"/>
          <w:sz w:val="24"/>
          <w:szCs w:val="24"/>
        </w:rPr>
        <w:t>a</w:t>
      </w:r>
      <w:r w:rsidRPr="005F7ADF">
        <w:rPr>
          <w:rFonts w:ascii="Garamond" w:hAnsi="Garamond"/>
          <w:sz w:val="24"/>
          <w:szCs w:val="24"/>
        </w:rPr>
        <w:t xml:space="preserve"> mogących być rezultatem realizacji ustaleń projektu dokumentu. </w:t>
      </w:r>
      <w:r w:rsidR="00621F99" w:rsidRPr="005F7ADF">
        <w:rPr>
          <w:rFonts w:ascii="Garamond" w:hAnsi="Garamond"/>
          <w:sz w:val="24"/>
          <w:szCs w:val="24"/>
        </w:rPr>
        <w:t xml:space="preserve">Natomiast w celu ograniczenia </w:t>
      </w:r>
      <w:r w:rsidR="009C166E" w:rsidRPr="005F7ADF">
        <w:rPr>
          <w:rFonts w:ascii="Garamond" w:hAnsi="Garamond"/>
          <w:sz w:val="24"/>
          <w:szCs w:val="24"/>
        </w:rPr>
        <w:t xml:space="preserve">emisji </w:t>
      </w:r>
      <w:r w:rsidR="00621F99" w:rsidRPr="005F7ADF">
        <w:rPr>
          <w:rFonts w:ascii="Garamond" w:hAnsi="Garamond"/>
          <w:sz w:val="24"/>
          <w:szCs w:val="24"/>
        </w:rPr>
        <w:t xml:space="preserve">gazów cieplarnianych i emisji zanieczyszczeń do powietrza w prognozie należy </w:t>
      </w:r>
      <w:r w:rsidR="00125757" w:rsidRPr="005F7ADF">
        <w:rPr>
          <w:rFonts w:ascii="Garamond" w:hAnsi="Garamond"/>
          <w:sz w:val="24"/>
          <w:szCs w:val="24"/>
        </w:rPr>
        <w:t>uwzględnić</w:t>
      </w:r>
      <w:r w:rsidR="00621F99" w:rsidRPr="005F7ADF">
        <w:rPr>
          <w:rFonts w:ascii="Garamond" w:hAnsi="Garamond"/>
          <w:sz w:val="24"/>
          <w:szCs w:val="24"/>
        </w:rPr>
        <w:t xml:space="preserve"> </w:t>
      </w:r>
      <w:r w:rsidR="00621F99" w:rsidRPr="005F7ADF">
        <w:rPr>
          <w:rFonts w:ascii="Garamond" w:hAnsi="Garamond"/>
          <w:sz w:val="24"/>
          <w:szCs w:val="24"/>
        </w:rPr>
        <w:lastRenderedPageBreak/>
        <w:t xml:space="preserve">udział energii pochodzącej ze źródeł odnawialnych i przeanalizować wpływ planowanych obiektów i urządzeń na </w:t>
      </w:r>
      <w:r w:rsidR="005F7ADF" w:rsidRPr="005F7ADF">
        <w:rPr>
          <w:rFonts w:ascii="Garamond" w:hAnsi="Garamond"/>
          <w:sz w:val="24"/>
          <w:szCs w:val="24"/>
        </w:rPr>
        <w:t>środowisko</w:t>
      </w:r>
      <w:r w:rsidR="00BC3BB3" w:rsidRPr="005F7ADF">
        <w:rPr>
          <w:rFonts w:ascii="Garamond" w:hAnsi="Garamond"/>
          <w:sz w:val="24"/>
          <w:szCs w:val="24"/>
        </w:rPr>
        <w:t>.</w:t>
      </w:r>
    </w:p>
    <w:p w:rsidR="005346FF" w:rsidRPr="005F7ADF" w:rsidRDefault="005346FF" w:rsidP="00B63AE0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eastAsia="Times New Roman" w:hAnsi="Garamond"/>
          <w:sz w:val="24"/>
          <w:szCs w:val="24"/>
        </w:rPr>
        <w:t>Zgodnie z art. 51 ust. 2 pkt 2 lit d ustawy z dnia 3 października 2008 r. o udostępnianiu informacji o środowisku i jego ochronie (...), w prognozie należy przeanalizować i ocenić czy projekt Planu uwzględnia cele ochrony środowiska ustanowione na szczeblu międzynarodowym, wspólnotowym i krajowym. Między innymi, mając na uwadze przepisy ustawy z dnia 20 lipca 2017 r. - Prawo wodne (Dz. U. z 202</w:t>
      </w:r>
      <w:r w:rsidR="00370955" w:rsidRPr="005F7ADF">
        <w:rPr>
          <w:rFonts w:ascii="Garamond" w:eastAsia="Times New Roman" w:hAnsi="Garamond"/>
          <w:sz w:val="24"/>
          <w:szCs w:val="24"/>
        </w:rPr>
        <w:t>1</w:t>
      </w:r>
      <w:r w:rsidRPr="005F7ADF">
        <w:rPr>
          <w:rFonts w:ascii="Garamond" w:eastAsia="Times New Roman" w:hAnsi="Garamond"/>
          <w:sz w:val="24"/>
          <w:szCs w:val="24"/>
        </w:rPr>
        <w:t xml:space="preserve"> r.</w:t>
      </w:r>
      <w:r w:rsidR="002D065D" w:rsidRPr="005F7ADF">
        <w:rPr>
          <w:rFonts w:ascii="Garamond" w:eastAsia="Times New Roman" w:hAnsi="Garamond"/>
          <w:sz w:val="24"/>
          <w:szCs w:val="24"/>
        </w:rPr>
        <w:t>,</w:t>
      </w:r>
      <w:r w:rsidRPr="005F7ADF">
        <w:rPr>
          <w:rFonts w:ascii="Garamond" w:eastAsia="Times New Roman" w:hAnsi="Garamond"/>
          <w:sz w:val="24"/>
          <w:szCs w:val="24"/>
        </w:rPr>
        <w:t xml:space="preserve"> poz. </w:t>
      </w:r>
      <w:r w:rsidR="00370955" w:rsidRPr="005F7ADF">
        <w:rPr>
          <w:rFonts w:ascii="Garamond" w:eastAsia="Times New Roman" w:hAnsi="Garamond"/>
          <w:sz w:val="24"/>
          <w:szCs w:val="24"/>
        </w:rPr>
        <w:t>624</w:t>
      </w:r>
      <w:r w:rsidRPr="005F7ADF">
        <w:rPr>
          <w:rFonts w:ascii="Garamond" w:eastAsia="Times New Roman" w:hAnsi="Garamond"/>
          <w:sz w:val="24"/>
          <w:szCs w:val="24"/>
        </w:rPr>
        <w:t xml:space="preserve"> z </w:t>
      </w:r>
      <w:proofErr w:type="spellStart"/>
      <w:r w:rsidRPr="005F7ADF">
        <w:rPr>
          <w:rFonts w:ascii="Garamond" w:eastAsia="Times New Roman" w:hAnsi="Garamond"/>
          <w:sz w:val="24"/>
          <w:szCs w:val="24"/>
        </w:rPr>
        <w:t>późn</w:t>
      </w:r>
      <w:proofErr w:type="spellEnd"/>
      <w:r w:rsidRPr="005F7ADF">
        <w:rPr>
          <w:rFonts w:ascii="Garamond" w:eastAsia="Times New Roman" w:hAnsi="Garamond"/>
          <w:sz w:val="24"/>
          <w:szCs w:val="24"/>
        </w:rPr>
        <w:t xml:space="preserve">. zm.), istotne jest przeprowadzenie analizy i oceny, w jaki sposób cele środowiskowe zawarte </w:t>
      </w:r>
      <w:r w:rsidR="00A5488D" w:rsidRPr="005F7ADF">
        <w:rPr>
          <w:rFonts w:ascii="Garamond" w:eastAsia="Times New Roman" w:hAnsi="Garamond"/>
          <w:sz w:val="24"/>
          <w:szCs w:val="24"/>
        </w:rPr>
        <w:t>w </w:t>
      </w:r>
      <w:r w:rsidRPr="005F7ADF">
        <w:rPr>
          <w:rFonts w:ascii="Garamond" w:eastAsia="Times New Roman" w:hAnsi="Garamond"/>
          <w:sz w:val="24"/>
          <w:szCs w:val="24"/>
        </w:rPr>
        <w:t>„Planie gospodarowania wodami na obszarze dorzecza Wisły”</w:t>
      </w:r>
      <w:r w:rsidR="00B63AE0" w:rsidRPr="005F7ADF">
        <w:rPr>
          <w:rFonts w:ascii="Garamond" w:hAnsi="Garamond"/>
          <w:sz w:val="24"/>
          <w:szCs w:val="24"/>
        </w:rPr>
        <w:t xml:space="preserve"> (tekst jedn. </w:t>
      </w:r>
      <w:r w:rsidR="0063768F" w:rsidRPr="005F7ADF">
        <w:rPr>
          <w:rFonts w:ascii="Garamond" w:hAnsi="Garamond"/>
          <w:sz w:val="24"/>
          <w:szCs w:val="24"/>
        </w:rPr>
        <w:br/>
      </w:r>
      <w:r w:rsidR="00B63AE0" w:rsidRPr="005F7ADF">
        <w:rPr>
          <w:rFonts w:ascii="Garamond" w:hAnsi="Garamond"/>
          <w:sz w:val="24"/>
          <w:szCs w:val="24"/>
        </w:rPr>
        <w:t>Dz. U. z 2016 r. poz. 1911 ze zm.: Dz. U. z 2016 r. poz. 1958)</w:t>
      </w:r>
      <w:r w:rsidRPr="005F7ADF">
        <w:rPr>
          <w:rFonts w:ascii="Garamond" w:eastAsia="Times New Roman" w:hAnsi="Garamond"/>
          <w:sz w:val="24"/>
          <w:szCs w:val="24"/>
        </w:rPr>
        <w:t xml:space="preserve"> zostały uwzględnione </w:t>
      </w:r>
      <w:r w:rsidR="0063768F" w:rsidRPr="005F7ADF">
        <w:rPr>
          <w:rFonts w:ascii="Garamond" w:eastAsia="Times New Roman" w:hAnsi="Garamond"/>
          <w:sz w:val="24"/>
          <w:szCs w:val="24"/>
        </w:rPr>
        <w:br/>
      </w:r>
      <w:r w:rsidRPr="005F7ADF">
        <w:rPr>
          <w:rFonts w:ascii="Garamond" w:eastAsia="Times New Roman" w:hAnsi="Garamond"/>
          <w:sz w:val="24"/>
          <w:szCs w:val="24"/>
        </w:rPr>
        <w:t>w projekcie dokumentu. Należy wskazać (wraz z uzasadnieniem) czy realizacja ustaleń projektu może spowodować nieosiągnięcie celów środowisko</w:t>
      </w:r>
      <w:r w:rsidR="00B63AE0" w:rsidRPr="005F7ADF">
        <w:rPr>
          <w:rFonts w:ascii="Garamond" w:eastAsia="Times New Roman" w:hAnsi="Garamond"/>
          <w:sz w:val="24"/>
          <w:szCs w:val="24"/>
        </w:rPr>
        <w:t>wych.</w:t>
      </w:r>
    </w:p>
    <w:p w:rsidR="0063768F" w:rsidRPr="005F7ADF" w:rsidRDefault="00797488" w:rsidP="00996168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W prognozie należy</w:t>
      </w:r>
      <w:r w:rsidR="0063768F" w:rsidRPr="005F7ADF">
        <w:rPr>
          <w:rFonts w:ascii="Garamond" w:hAnsi="Garamond"/>
          <w:sz w:val="24"/>
          <w:szCs w:val="24"/>
        </w:rPr>
        <w:t xml:space="preserve"> określić zabezpieczenia środowiska gruntowo – wodnego przed zanieczyszczeniem oraz</w:t>
      </w:r>
      <w:r w:rsidRPr="005F7ADF">
        <w:rPr>
          <w:rFonts w:ascii="Garamond" w:hAnsi="Garamond"/>
          <w:sz w:val="24"/>
          <w:szCs w:val="24"/>
        </w:rPr>
        <w:t xml:space="preserve"> opisać warunki hydrogeologiczne</w:t>
      </w:r>
      <w:r w:rsidR="0063768F" w:rsidRPr="005F7ADF">
        <w:rPr>
          <w:rFonts w:ascii="Garamond" w:hAnsi="Garamond"/>
          <w:sz w:val="24"/>
          <w:szCs w:val="24"/>
        </w:rPr>
        <w:t xml:space="preserve">, jak również </w:t>
      </w:r>
      <w:r w:rsidRPr="005F7ADF">
        <w:rPr>
          <w:rFonts w:ascii="Garamond" w:hAnsi="Garamond"/>
          <w:sz w:val="24"/>
          <w:szCs w:val="24"/>
        </w:rPr>
        <w:t xml:space="preserve">przedstawić rozwiązania mające na celu zapobieganie i ograniczenie negatywnego oddziaływania realizacji ustaleń dokumentu na środowisko gruntowo – wodne. </w:t>
      </w:r>
    </w:p>
    <w:p w:rsidR="00506E0C" w:rsidRPr="005F7ADF" w:rsidRDefault="00090730" w:rsidP="008345CD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W prognozie oddziaływania na środowisko powinna również znaleźć się ocena propozycji monitorowania skutków wdrażania ustaleń </w:t>
      </w:r>
      <w:r w:rsidR="00797488" w:rsidRPr="005F7ADF">
        <w:rPr>
          <w:rFonts w:ascii="Garamond" w:hAnsi="Garamond"/>
          <w:sz w:val="24"/>
          <w:szCs w:val="24"/>
        </w:rPr>
        <w:t>projektu Planu (…)</w:t>
      </w:r>
      <w:r w:rsidRPr="005F7ADF">
        <w:rPr>
          <w:rFonts w:ascii="Garamond" w:hAnsi="Garamond"/>
          <w:sz w:val="24"/>
          <w:szCs w:val="24"/>
        </w:rPr>
        <w:t xml:space="preserve"> na środowisko </w:t>
      </w:r>
      <w:r w:rsidR="00150E15" w:rsidRPr="005F7ADF">
        <w:rPr>
          <w:rFonts w:ascii="Garamond" w:hAnsi="Garamond"/>
          <w:sz w:val="24"/>
          <w:szCs w:val="24"/>
        </w:rPr>
        <w:br/>
      </w:r>
      <w:r w:rsidRPr="005F7ADF">
        <w:rPr>
          <w:rFonts w:ascii="Garamond" w:hAnsi="Garamond"/>
          <w:sz w:val="24"/>
          <w:szCs w:val="24"/>
        </w:rPr>
        <w:t>z uwzględ</w:t>
      </w:r>
      <w:r w:rsidR="00A5488D" w:rsidRPr="005F7ADF">
        <w:rPr>
          <w:rFonts w:ascii="Garamond" w:hAnsi="Garamond"/>
          <w:sz w:val="24"/>
          <w:szCs w:val="24"/>
        </w:rPr>
        <w:t xml:space="preserve">nieniem częstotliwości i metod </w:t>
      </w:r>
      <w:r w:rsidRPr="005F7ADF">
        <w:rPr>
          <w:rFonts w:ascii="Garamond" w:hAnsi="Garamond"/>
          <w:sz w:val="24"/>
          <w:szCs w:val="24"/>
        </w:rPr>
        <w:t>przeprowadzenia monitoringu.</w:t>
      </w:r>
      <w:r w:rsidR="001106C7" w:rsidRPr="005F7ADF">
        <w:rPr>
          <w:rFonts w:ascii="Garamond" w:hAnsi="Garamond"/>
          <w:sz w:val="24"/>
          <w:szCs w:val="24"/>
        </w:rPr>
        <w:t xml:space="preserve"> </w:t>
      </w:r>
      <w:r w:rsidR="00506E0C" w:rsidRPr="005F7ADF">
        <w:rPr>
          <w:rFonts w:ascii="Garamond" w:hAnsi="Garamond"/>
          <w:sz w:val="24"/>
          <w:szCs w:val="24"/>
        </w:rPr>
        <w:t>Ponadto prognoza powinna zawierać informację o możliwym transgranic</w:t>
      </w:r>
      <w:r w:rsidR="009C166E" w:rsidRPr="005F7ADF">
        <w:rPr>
          <w:rFonts w:ascii="Garamond" w:hAnsi="Garamond"/>
          <w:sz w:val="24"/>
          <w:szCs w:val="24"/>
        </w:rPr>
        <w:t>znym oddziaływaniu na środowisko</w:t>
      </w:r>
      <w:r w:rsidR="00506E0C" w:rsidRPr="005F7ADF">
        <w:rPr>
          <w:rFonts w:ascii="Garamond" w:hAnsi="Garamond"/>
          <w:sz w:val="24"/>
          <w:szCs w:val="24"/>
        </w:rPr>
        <w:t xml:space="preserve"> (lub o braku</w:t>
      </w:r>
      <w:r w:rsidR="002D065D" w:rsidRPr="005F7ADF">
        <w:rPr>
          <w:rFonts w:ascii="Garamond" w:hAnsi="Garamond"/>
          <w:sz w:val="24"/>
          <w:szCs w:val="24"/>
        </w:rPr>
        <w:t xml:space="preserve"> takiego oddziaływania</w:t>
      </w:r>
      <w:r w:rsidR="00506E0C" w:rsidRPr="005F7ADF">
        <w:rPr>
          <w:rFonts w:ascii="Garamond" w:hAnsi="Garamond"/>
          <w:sz w:val="24"/>
          <w:szCs w:val="24"/>
        </w:rPr>
        <w:t xml:space="preserve">). </w:t>
      </w:r>
    </w:p>
    <w:p w:rsidR="00090730" w:rsidRPr="005F7ADF" w:rsidRDefault="00090730" w:rsidP="008345CD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 xml:space="preserve">Na podstawie art. 52 ustawy </w:t>
      </w:r>
      <w:r w:rsidR="00A5488D" w:rsidRPr="005F7ADF">
        <w:rPr>
          <w:rFonts w:ascii="Garamond" w:eastAsia="Times New Roman" w:hAnsi="Garamond"/>
          <w:sz w:val="24"/>
          <w:szCs w:val="24"/>
        </w:rPr>
        <w:t xml:space="preserve">z dnia 3 października 2008 r. o udostępnianiu informacji </w:t>
      </w:r>
      <w:r w:rsidR="002B13A4" w:rsidRPr="005F7ADF">
        <w:rPr>
          <w:rFonts w:ascii="Garamond" w:eastAsia="Times New Roman" w:hAnsi="Garamond"/>
          <w:sz w:val="24"/>
          <w:szCs w:val="24"/>
        </w:rPr>
        <w:t xml:space="preserve">       </w:t>
      </w:r>
      <w:r w:rsidR="00A5488D" w:rsidRPr="005F7ADF">
        <w:rPr>
          <w:rFonts w:ascii="Garamond" w:eastAsia="Times New Roman" w:hAnsi="Garamond"/>
          <w:sz w:val="24"/>
          <w:szCs w:val="24"/>
        </w:rPr>
        <w:t>o środowisku i jego ochronie (...)</w:t>
      </w:r>
      <w:r w:rsidRPr="005F7ADF">
        <w:rPr>
          <w:rFonts w:ascii="Garamond" w:hAnsi="Garamond"/>
          <w:sz w:val="24"/>
          <w:szCs w:val="24"/>
        </w:rPr>
        <w:t>, w prognozie oddziaływania na środowisko uwzględnia się informacje zawarte w prognozach oddziaływania na środowisko sporządzonych dla innych, przyjętych już dokumentów powiązanych z projektem dokumentu będącego przedmiotem postępowania. Prognoza powinna zawierać rzetelnie sporządzone streszczenie w języku niespecjalistycznym,  z uwagi na fakt, że jej podstawowym zadaniem jest ułatwienie udziału w postępowaniu w sprawie oceny oddziaływania na środowisko analizowanego projektu dokumentu, wszystkim zainteresowanym, także tym osobom, które nie po</w:t>
      </w:r>
      <w:r w:rsidR="00BF18CD" w:rsidRPr="005F7ADF">
        <w:rPr>
          <w:rFonts w:ascii="Garamond" w:hAnsi="Garamond"/>
          <w:sz w:val="24"/>
          <w:szCs w:val="24"/>
        </w:rPr>
        <w:t xml:space="preserve">siadają specjalistycznej wiedzy </w:t>
      </w:r>
      <w:r w:rsidRPr="005F7ADF">
        <w:rPr>
          <w:rFonts w:ascii="Garamond" w:hAnsi="Garamond"/>
          <w:sz w:val="24"/>
          <w:szCs w:val="24"/>
        </w:rPr>
        <w:t xml:space="preserve">z zakresu ochrony środowiska, </w:t>
      </w:r>
      <w:r w:rsidR="00C45D80" w:rsidRPr="005F7ADF">
        <w:rPr>
          <w:rFonts w:ascii="Garamond" w:hAnsi="Garamond"/>
          <w:sz w:val="24"/>
          <w:szCs w:val="24"/>
        </w:rPr>
        <w:br/>
      </w:r>
      <w:r w:rsidRPr="005F7ADF">
        <w:rPr>
          <w:rFonts w:ascii="Garamond" w:hAnsi="Garamond"/>
          <w:sz w:val="24"/>
          <w:szCs w:val="24"/>
        </w:rPr>
        <w:t xml:space="preserve">a </w:t>
      </w:r>
      <w:r w:rsidR="00C45D80" w:rsidRPr="005F7ADF">
        <w:rPr>
          <w:rFonts w:ascii="Garamond" w:hAnsi="Garamond"/>
          <w:sz w:val="24"/>
          <w:szCs w:val="24"/>
        </w:rPr>
        <w:t xml:space="preserve">zainteresowane są zapoznaniem się z </w:t>
      </w:r>
      <w:r w:rsidRPr="005F7ADF">
        <w:rPr>
          <w:rFonts w:ascii="Garamond" w:hAnsi="Garamond"/>
          <w:sz w:val="24"/>
          <w:szCs w:val="24"/>
        </w:rPr>
        <w:t>wynik</w:t>
      </w:r>
      <w:r w:rsidR="00C45D80" w:rsidRPr="005F7ADF">
        <w:rPr>
          <w:rFonts w:ascii="Garamond" w:hAnsi="Garamond"/>
          <w:sz w:val="24"/>
          <w:szCs w:val="24"/>
        </w:rPr>
        <w:t>ami</w:t>
      </w:r>
      <w:r w:rsidRPr="005F7ADF">
        <w:rPr>
          <w:rFonts w:ascii="Garamond" w:hAnsi="Garamond"/>
          <w:sz w:val="24"/>
          <w:szCs w:val="24"/>
        </w:rPr>
        <w:t xml:space="preserve"> i wniosk</w:t>
      </w:r>
      <w:r w:rsidR="00C45D80" w:rsidRPr="005F7ADF">
        <w:rPr>
          <w:rFonts w:ascii="Garamond" w:hAnsi="Garamond"/>
          <w:sz w:val="24"/>
          <w:szCs w:val="24"/>
        </w:rPr>
        <w:t>ami</w:t>
      </w:r>
      <w:r w:rsidRPr="005F7ADF">
        <w:rPr>
          <w:rFonts w:ascii="Garamond" w:hAnsi="Garamond"/>
          <w:sz w:val="24"/>
          <w:szCs w:val="24"/>
        </w:rPr>
        <w:t xml:space="preserve"> z oceny, a także </w:t>
      </w:r>
      <w:r w:rsidR="00FB43AB" w:rsidRPr="005F7ADF">
        <w:rPr>
          <w:rFonts w:ascii="Garamond" w:hAnsi="Garamond"/>
          <w:sz w:val="24"/>
          <w:szCs w:val="24"/>
        </w:rPr>
        <w:t>uczestnictwem</w:t>
      </w:r>
      <w:r w:rsidRPr="005F7ADF">
        <w:rPr>
          <w:rFonts w:ascii="Garamond" w:hAnsi="Garamond"/>
          <w:sz w:val="24"/>
          <w:szCs w:val="24"/>
        </w:rPr>
        <w:t xml:space="preserve"> w dyskusji nad ustaleniami określonego dokumentu i jego wpływem na środowisk</w:t>
      </w:r>
      <w:r w:rsidR="007F3367" w:rsidRPr="005F7ADF">
        <w:rPr>
          <w:rFonts w:ascii="Garamond" w:hAnsi="Garamond"/>
          <w:sz w:val="24"/>
          <w:szCs w:val="24"/>
        </w:rPr>
        <w:t>o</w:t>
      </w:r>
      <w:r w:rsidRPr="005F7ADF">
        <w:rPr>
          <w:rFonts w:ascii="Garamond" w:hAnsi="Garamond"/>
          <w:sz w:val="24"/>
          <w:szCs w:val="24"/>
        </w:rPr>
        <w:t>.</w:t>
      </w:r>
    </w:p>
    <w:p w:rsidR="00090730" w:rsidRPr="005F7ADF" w:rsidRDefault="00BF18CD" w:rsidP="00F660CD">
      <w:pPr>
        <w:pStyle w:val="Akapitzlist"/>
        <w:numPr>
          <w:ilvl w:val="0"/>
          <w:numId w:val="2"/>
        </w:numPr>
        <w:spacing w:after="200" w:line="276" w:lineRule="auto"/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F7ADF">
        <w:rPr>
          <w:rFonts w:ascii="Garamond" w:hAnsi="Garamond"/>
          <w:sz w:val="24"/>
          <w:szCs w:val="24"/>
        </w:rPr>
        <w:t>Zgodnie z art. 51 ust. 2 pkt 1 lit. f i g</w:t>
      </w:r>
      <w:r w:rsidR="003C1EB7" w:rsidRPr="005F7ADF">
        <w:rPr>
          <w:rFonts w:ascii="Garamond" w:hAnsi="Garamond"/>
          <w:sz w:val="24"/>
          <w:szCs w:val="24"/>
        </w:rPr>
        <w:t xml:space="preserve"> ww. ustawy</w:t>
      </w:r>
      <w:r w:rsidRPr="005F7ADF">
        <w:rPr>
          <w:rFonts w:ascii="Garamond" w:hAnsi="Garamond"/>
          <w:sz w:val="24"/>
          <w:szCs w:val="24"/>
        </w:rPr>
        <w:t xml:space="preserve">, </w:t>
      </w:r>
      <w:r w:rsidR="00F660CD" w:rsidRPr="005F7ADF">
        <w:rPr>
          <w:rFonts w:ascii="Garamond" w:hAnsi="Garamond"/>
          <w:sz w:val="24"/>
          <w:szCs w:val="24"/>
        </w:rPr>
        <w:t xml:space="preserve">prognoza powinna zawierać </w:t>
      </w:r>
      <w:r w:rsidR="00ED0668" w:rsidRPr="005F7ADF">
        <w:rPr>
          <w:rFonts w:ascii="Garamond" w:hAnsi="Garamond"/>
          <w:sz w:val="24"/>
          <w:szCs w:val="24"/>
        </w:rPr>
        <w:t xml:space="preserve">oświadczenie autora, a w przypadku gdy wykonawcą prognozy jest zespół autorów - kierującego tym zespołem,  o spełnieniu wymagań, o których mowa w art. 74a ust. 2 cyt. ustawy, a także </w:t>
      </w:r>
      <w:r w:rsidRPr="005F7ADF">
        <w:rPr>
          <w:rFonts w:ascii="Garamond" w:hAnsi="Garamond"/>
          <w:sz w:val="24"/>
          <w:szCs w:val="24"/>
        </w:rPr>
        <w:t>datę sporządzenia, imię, nazwisko i podpis autora</w:t>
      </w:r>
      <w:r w:rsidR="00F660CD" w:rsidRPr="005F7ADF">
        <w:rPr>
          <w:rFonts w:ascii="Garamond" w:hAnsi="Garamond"/>
          <w:sz w:val="24"/>
          <w:szCs w:val="24"/>
        </w:rPr>
        <w:t xml:space="preserve">, a w przypadku gdy wykonawcą prognozy jest zespół autorów - kierującego tym zespołem oraz członków zespołu autorów. </w:t>
      </w:r>
      <w:r w:rsidRPr="005F7ADF">
        <w:rPr>
          <w:rFonts w:ascii="Garamond" w:hAnsi="Garamond"/>
          <w:sz w:val="24"/>
          <w:szCs w:val="24"/>
        </w:rPr>
        <w:t xml:space="preserve">Oświadczenie stanowi załącznik do tego opracowania. Na podstawie art. 74a ust. 3 </w:t>
      </w:r>
      <w:r w:rsidR="003C1EB7" w:rsidRPr="005F7ADF">
        <w:rPr>
          <w:rFonts w:ascii="Garamond" w:hAnsi="Garamond"/>
          <w:sz w:val="24"/>
          <w:szCs w:val="24"/>
        </w:rPr>
        <w:t xml:space="preserve">cyt. </w:t>
      </w:r>
      <w:r w:rsidRPr="005F7ADF">
        <w:rPr>
          <w:rFonts w:ascii="Garamond" w:hAnsi="Garamond"/>
          <w:sz w:val="24"/>
          <w:szCs w:val="24"/>
        </w:rPr>
        <w:t xml:space="preserve">ustawy, w powyższym należy zawrzeć klauzulę o odpowiedzialności karnej za złożenie fałszywego oświadczenia. </w:t>
      </w:r>
    </w:p>
    <w:p w:rsidR="009A794A" w:rsidRPr="005F7ADF" w:rsidRDefault="009A794A" w:rsidP="00F859F9">
      <w:pPr>
        <w:pStyle w:val="Akapitzlist"/>
        <w:spacing w:after="200" w:line="276" w:lineRule="auto"/>
        <w:ind w:left="709"/>
        <w:contextualSpacing/>
        <w:jc w:val="center"/>
        <w:rPr>
          <w:rFonts w:ascii="Garamond" w:hAnsi="Garamond"/>
          <w:sz w:val="24"/>
          <w:szCs w:val="24"/>
        </w:rPr>
      </w:pPr>
    </w:p>
    <w:p w:rsidR="00090730" w:rsidRPr="005F7ADF" w:rsidRDefault="00090730" w:rsidP="0009073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  <w:r w:rsidRPr="005F7ADF">
        <w:rPr>
          <w:rFonts w:ascii="Garamond" w:hAnsi="Garamond"/>
          <w:sz w:val="24"/>
          <w:szCs w:val="24"/>
          <w:lang w:val="pl-PL"/>
        </w:rPr>
        <w:lastRenderedPageBreak/>
        <w:tab/>
        <w:t>Zgodnie z art. 54 ust. 1 przywołanej na wstępie ustawy, przedmiotowy projekt dokumentu wraz z prognozą oddziaływania na środowisko wymaga zaopiniowania przez</w:t>
      </w:r>
      <w:r w:rsidR="00952FE9" w:rsidRPr="005F7ADF">
        <w:rPr>
          <w:rFonts w:ascii="Garamond" w:hAnsi="Garamond"/>
          <w:sz w:val="24"/>
          <w:szCs w:val="24"/>
          <w:lang w:val="pl-PL"/>
        </w:rPr>
        <w:t xml:space="preserve"> </w:t>
      </w:r>
      <w:r w:rsidRPr="005F7ADF">
        <w:rPr>
          <w:rFonts w:ascii="Garamond" w:hAnsi="Garamond"/>
          <w:sz w:val="24"/>
          <w:szCs w:val="24"/>
          <w:lang w:val="pl-PL"/>
        </w:rPr>
        <w:t>tut.</w:t>
      </w:r>
      <w:r w:rsidR="003C1EB7" w:rsidRPr="005F7ADF">
        <w:rPr>
          <w:rFonts w:ascii="Garamond" w:hAnsi="Garamond"/>
          <w:sz w:val="24"/>
          <w:szCs w:val="24"/>
          <w:lang w:val="pl-PL"/>
        </w:rPr>
        <w:t> </w:t>
      </w:r>
      <w:r w:rsidR="00B2413D" w:rsidRPr="005F7ADF">
        <w:rPr>
          <w:rFonts w:ascii="Garamond" w:hAnsi="Garamond"/>
          <w:sz w:val="24"/>
          <w:szCs w:val="24"/>
          <w:lang w:val="pl-PL"/>
        </w:rPr>
        <w:t>o</w:t>
      </w:r>
      <w:r w:rsidRPr="005F7ADF">
        <w:rPr>
          <w:rFonts w:ascii="Garamond" w:hAnsi="Garamond"/>
          <w:sz w:val="24"/>
          <w:szCs w:val="24"/>
          <w:lang w:val="pl-PL"/>
        </w:rPr>
        <w:t xml:space="preserve">rgan. W tym celu projekt dokumentu wraz z prognozą należy przedłożyć w wersji papierowej oraz elektronicznej. </w:t>
      </w:r>
    </w:p>
    <w:p w:rsidR="001106C7" w:rsidRPr="005F7ADF" w:rsidRDefault="001106C7" w:rsidP="0009073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  <w:lang w:val="pl-PL"/>
        </w:rPr>
      </w:pPr>
    </w:p>
    <w:p w:rsidR="00B2413D" w:rsidRPr="005F7ADF" w:rsidRDefault="00B2413D" w:rsidP="001106C7"/>
    <w:p w:rsidR="002B13A4" w:rsidRPr="005F7ADF" w:rsidRDefault="002B13A4" w:rsidP="001106C7"/>
    <w:p w:rsidR="002A40DC" w:rsidRDefault="002A40DC" w:rsidP="002A40DC">
      <w:pPr>
        <w:ind w:left="6096"/>
        <w:rPr>
          <w:rFonts w:ascii="Garamond" w:hAnsi="Garamond"/>
        </w:rPr>
      </w:pPr>
      <w:r>
        <w:rPr>
          <w:rFonts w:ascii="Garamond" w:hAnsi="Garamond"/>
        </w:rPr>
        <w:t>Aldona Sobolak</w:t>
      </w:r>
    </w:p>
    <w:p w:rsidR="002A40DC" w:rsidRDefault="002A40DC" w:rsidP="002A40DC">
      <w:pPr>
        <w:ind w:left="6096"/>
        <w:rPr>
          <w:rFonts w:ascii="Garamond" w:hAnsi="Garamond"/>
        </w:rPr>
      </w:pPr>
      <w:r>
        <w:rPr>
          <w:rFonts w:ascii="Garamond" w:hAnsi="Garamond"/>
        </w:rPr>
        <w:t xml:space="preserve">Regionalny Dyrektor </w:t>
      </w:r>
    </w:p>
    <w:p w:rsidR="002A40DC" w:rsidRDefault="002A40DC" w:rsidP="002A40DC">
      <w:pPr>
        <w:ind w:left="6096"/>
        <w:rPr>
          <w:rFonts w:ascii="Garamond" w:hAnsi="Garamond"/>
        </w:rPr>
      </w:pPr>
      <w:r>
        <w:rPr>
          <w:rFonts w:ascii="Garamond" w:hAnsi="Garamond"/>
        </w:rPr>
        <w:t xml:space="preserve">Ochrony Środowiska </w:t>
      </w:r>
    </w:p>
    <w:p w:rsidR="002A40DC" w:rsidRDefault="002A40DC" w:rsidP="002A40DC">
      <w:pPr>
        <w:ind w:left="6096"/>
        <w:rPr>
          <w:rFonts w:ascii="Garamond" w:hAnsi="Garamond"/>
        </w:rPr>
      </w:pPr>
      <w:r>
        <w:rPr>
          <w:rFonts w:ascii="Garamond" w:hAnsi="Garamond"/>
        </w:rPr>
        <w:t>w Kielcach</w:t>
      </w:r>
    </w:p>
    <w:p w:rsidR="002A40DC" w:rsidRDefault="002A40DC" w:rsidP="002A40DC">
      <w:pPr>
        <w:ind w:left="6096"/>
        <w:rPr>
          <w:rFonts w:ascii="Garamond" w:hAnsi="Garamond"/>
        </w:rPr>
      </w:pPr>
      <w:r>
        <w:rPr>
          <w:rFonts w:ascii="Garamond" w:hAnsi="Garamond"/>
        </w:rPr>
        <w:t>/-podpisany cyfrowo/</w:t>
      </w:r>
    </w:p>
    <w:p w:rsidR="00410504" w:rsidRPr="005F7ADF" w:rsidRDefault="00410504" w:rsidP="00A8492A">
      <w:pPr>
        <w:ind w:left="5529"/>
        <w:jc w:val="center"/>
        <w:rPr>
          <w:rFonts w:ascii="Garamond" w:eastAsiaTheme="minorHAnsi" w:hAnsi="Garamond" w:cs="Calibri"/>
          <w:lang w:eastAsia="en-US"/>
        </w:rPr>
      </w:pPr>
      <w:r w:rsidRPr="005F7ADF">
        <w:tab/>
      </w:r>
    </w:p>
    <w:p w:rsidR="00090730" w:rsidRPr="005F7ADF" w:rsidRDefault="00090730" w:rsidP="00410504">
      <w:pPr>
        <w:tabs>
          <w:tab w:val="left" w:pos="5860"/>
        </w:tabs>
      </w:pPr>
    </w:p>
    <w:p w:rsidR="00536C09" w:rsidRDefault="00536C09" w:rsidP="00090730"/>
    <w:p w:rsidR="00536C09" w:rsidRDefault="00536C09" w:rsidP="00090730"/>
    <w:p w:rsidR="00536C09" w:rsidRDefault="00536C09" w:rsidP="00090730"/>
    <w:p w:rsidR="00536C09" w:rsidRDefault="00536C09" w:rsidP="00090730"/>
    <w:p w:rsidR="00536C09" w:rsidRDefault="00536C09" w:rsidP="00090730"/>
    <w:p w:rsidR="00536C09" w:rsidRDefault="00536C09" w:rsidP="00090730"/>
    <w:p w:rsidR="002040B8" w:rsidRDefault="002040B8" w:rsidP="00090730"/>
    <w:p w:rsidR="002040B8" w:rsidRDefault="002040B8" w:rsidP="00090730"/>
    <w:p w:rsidR="002040B8" w:rsidRDefault="002040B8" w:rsidP="00090730"/>
    <w:p w:rsidR="002040B8" w:rsidRDefault="002040B8" w:rsidP="00090730"/>
    <w:p w:rsidR="002040B8" w:rsidRDefault="002040B8" w:rsidP="00090730"/>
    <w:p w:rsidR="002040B8" w:rsidRDefault="002040B8" w:rsidP="00090730"/>
    <w:p w:rsidR="002040B8" w:rsidRDefault="002040B8" w:rsidP="00090730"/>
    <w:p w:rsidR="00536C09" w:rsidRDefault="00536C09" w:rsidP="00090730"/>
    <w:p w:rsidR="002B13A4" w:rsidRPr="002B13A4" w:rsidRDefault="002B13A4" w:rsidP="00090730"/>
    <w:p w:rsidR="00090730" w:rsidRPr="00536C09" w:rsidRDefault="00090730" w:rsidP="00090730">
      <w:pPr>
        <w:rPr>
          <w:rFonts w:ascii="Garamond" w:hAnsi="Garamond"/>
        </w:rPr>
      </w:pPr>
      <w:r w:rsidRPr="00536C09">
        <w:rPr>
          <w:rFonts w:ascii="Garamond" w:hAnsi="Garamond"/>
        </w:rPr>
        <w:t>Otrzymują:</w:t>
      </w:r>
    </w:p>
    <w:p w:rsidR="00090730" w:rsidRPr="00536C09" w:rsidRDefault="00090730" w:rsidP="00090730">
      <w:pPr>
        <w:pStyle w:val="Akapitzlist"/>
        <w:numPr>
          <w:ilvl w:val="0"/>
          <w:numId w:val="1"/>
        </w:numPr>
        <w:rPr>
          <w:rFonts w:ascii="Garamond" w:eastAsia="Times New Roman" w:hAnsi="Garamond"/>
          <w:sz w:val="24"/>
          <w:szCs w:val="24"/>
        </w:rPr>
      </w:pPr>
      <w:r w:rsidRPr="00536C09">
        <w:rPr>
          <w:rFonts w:ascii="Garamond" w:eastAsia="Times New Roman" w:hAnsi="Garamond"/>
          <w:sz w:val="24"/>
          <w:szCs w:val="24"/>
        </w:rPr>
        <w:t>Adresat</w:t>
      </w:r>
      <w:r w:rsidR="00330359" w:rsidRPr="00536C09">
        <w:rPr>
          <w:rFonts w:ascii="Garamond" w:eastAsia="Times New Roman" w:hAnsi="Garamond"/>
          <w:sz w:val="24"/>
          <w:szCs w:val="24"/>
        </w:rPr>
        <w:t xml:space="preserve"> – </w:t>
      </w:r>
      <w:r w:rsidR="003C1EB7" w:rsidRPr="00536C09">
        <w:rPr>
          <w:rFonts w:ascii="Garamond" w:eastAsia="Times New Roman" w:hAnsi="Garamond"/>
          <w:sz w:val="24"/>
          <w:szCs w:val="24"/>
        </w:rPr>
        <w:t xml:space="preserve">doręczenie elektroniczne </w:t>
      </w:r>
      <w:proofErr w:type="spellStart"/>
      <w:r w:rsidR="003C1EB7" w:rsidRPr="00536C09">
        <w:rPr>
          <w:rFonts w:ascii="Garamond" w:eastAsia="Times New Roman" w:hAnsi="Garamond"/>
          <w:sz w:val="24"/>
          <w:szCs w:val="24"/>
        </w:rPr>
        <w:t>ePUAP</w:t>
      </w:r>
      <w:proofErr w:type="spellEnd"/>
    </w:p>
    <w:p w:rsidR="00090730" w:rsidRPr="00536C09" w:rsidRDefault="00090730" w:rsidP="00090730">
      <w:pPr>
        <w:pStyle w:val="Akapitzlist"/>
        <w:numPr>
          <w:ilvl w:val="0"/>
          <w:numId w:val="1"/>
        </w:numPr>
        <w:rPr>
          <w:rFonts w:ascii="Garamond" w:eastAsia="Times New Roman" w:hAnsi="Garamond"/>
          <w:sz w:val="24"/>
          <w:szCs w:val="24"/>
        </w:rPr>
      </w:pPr>
      <w:r w:rsidRPr="00536C09">
        <w:rPr>
          <w:rFonts w:ascii="Garamond" w:eastAsia="Times New Roman" w:hAnsi="Garamond"/>
          <w:sz w:val="24"/>
          <w:szCs w:val="24"/>
        </w:rPr>
        <w:t>a/a</w:t>
      </w:r>
    </w:p>
    <w:sectPr w:rsidR="00090730" w:rsidRPr="00536C09" w:rsidSect="002D065D">
      <w:footerReference w:type="default" r:id="rId8"/>
      <w:headerReference w:type="first" r:id="rId9"/>
      <w:footerReference w:type="first" r:id="rId10"/>
      <w:pgSz w:w="11906" w:h="16838"/>
      <w:pgMar w:top="1418" w:right="1417" w:bottom="184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29" w:rsidRDefault="001B7B29">
      <w:r>
        <w:separator/>
      </w:r>
    </w:p>
  </w:endnote>
  <w:endnote w:type="continuationSeparator" w:id="0">
    <w:p w:rsidR="001B7B29" w:rsidRDefault="001B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035928"/>
      <w:docPartObj>
        <w:docPartGallery w:val="Page Numbers (Bottom of Page)"/>
        <w:docPartUnique/>
      </w:docPartObj>
    </w:sdtPr>
    <w:sdtEndPr/>
    <w:sdtContent>
      <w:p w:rsidR="00DF60AE" w:rsidRDefault="008E1770" w:rsidP="00DF60AE">
        <w:pPr>
          <w:pStyle w:val="Stopka"/>
          <w:jc w:val="center"/>
        </w:pPr>
        <w:r w:rsidRPr="00DB0F24">
          <w:rPr>
            <w:rFonts w:ascii="Garamond" w:hAnsi="Garamond"/>
          </w:rPr>
          <w:fldChar w:fldCharType="begin"/>
        </w:r>
        <w:r w:rsidR="00310BEB" w:rsidRPr="00DB0F24">
          <w:rPr>
            <w:rFonts w:ascii="Garamond" w:hAnsi="Garamond"/>
          </w:rPr>
          <w:instrText xml:space="preserve"> PAGE   \* MERGEFORMAT </w:instrText>
        </w:r>
        <w:r w:rsidRPr="00DB0F24">
          <w:rPr>
            <w:rFonts w:ascii="Garamond" w:hAnsi="Garamond"/>
          </w:rPr>
          <w:fldChar w:fldCharType="separate"/>
        </w:r>
        <w:r w:rsidR="00CA445A">
          <w:rPr>
            <w:rFonts w:ascii="Garamond" w:hAnsi="Garamond"/>
            <w:noProof/>
          </w:rPr>
          <w:t>6</w:t>
        </w:r>
        <w:r w:rsidRPr="00DB0F24">
          <w:rPr>
            <w:rFonts w:ascii="Garamond" w:hAnsi="Garamond"/>
          </w:rPr>
          <w:fldChar w:fldCharType="end"/>
        </w:r>
      </w:p>
    </w:sdtContent>
  </w:sdt>
  <w:p w:rsidR="00DF60AE" w:rsidRDefault="001B7B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87149"/>
      <w:docPartObj>
        <w:docPartGallery w:val="Page Numbers (Bottom of Page)"/>
        <w:docPartUnique/>
      </w:docPartObj>
    </w:sdtPr>
    <w:sdtEndPr/>
    <w:sdtContent>
      <w:p w:rsidR="00DF60AE" w:rsidRDefault="008E1770" w:rsidP="00DF60AE">
        <w:pPr>
          <w:pStyle w:val="Stopka"/>
          <w:jc w:val="center"/>
        </w:pPr>
        <w:r w:rsidRPr="00DB0F24">
          <w:rPr>
            <w:rFonts w:ascii="Garamond" w:hAnsi="Garamond"/>
          </w:rPr>
          <w:fldChar w:fldCharType="begin"/>
        </w:r>
        <w:r w:rsidR="00310BEB" w:rsidRPr="00DB0F24">
          <w:rPr>
            <w:rFonts w:ascii="Garamond" w:hAnsi="Garamond"/>
          </w:rPr>
          <w:instrText xml:space="preserve"> PAGE   \* MERGEFORMAT </w:instrText>
        </w:r>
        <w:r w:rsidRPr="00DB0F24">
          <w:rPr>
            <w:rFonts w:ascii="Garamond" w:hAnsi="Garamond"/>
          </w:rPr>
          <w:fldChar w:fldCharType="separate"/>
        </w:r>
        <w:r w:rsidR="00CA445A">
          <w:rPr>
            <w:rFonts w:ascii="Garamond" w:hAnsi="Garamond"/>
            <w:noProof/>
          </w:rPr>
          <w:t>1</w:t>
        </w:r>
        <w:r w:rsidRPr="00DB0F24">
          <w:rPr>
            <w:rFonts w:ascii="Garamond" w:hAnsi="Garamond"/>
          </w:rPr>
          <w:fldChar w:fldCharType="end"/>
        </w:r>
      </w:p>
    </w:sdtContent>
  </w:sdt>
  <w:p w:rsidR="00DF60AE" w:rsidRDefault="001B7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29" w:rsidRDefault="001B7B29">
      <w:r>
        <w:separator/>
      </w:r>
    </w:p>
  </w:footnote>
  <w:footnote w:type="continuationSeparator" w:id="0">
    <w:p w:rsidR="001B7B29" w:rsidRDefault="001B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AE" w:rsidRDefault="00310BEB" w:rsidP="00DF60AE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0AE" w:rsidRDefault="00310BEB" w:rsidP="00DF60AE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DF60AE" w:rsidRPr="007F297D" w:rsidRDefault="00310BEB" w:rsidP="00DF60AE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DF60AE" w:rsidRDefault="00310BEB" w:rsidP="00DF60AE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DF60AE" w:rsidRDefault="001B7B29" w:rsidP="00DF6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F3B"/>
    <w:multiLevelType w:val="hybridMultilevel"/>
    <w:tmpl w:val="01EC14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C94905"/>
    <w:multiLevelType w:val="hybridMultilevel"/>
    <w:tmpl w:val="16C039AC"/>
    <w:lvl w:ilvl="0" w:tplc="F430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726F4"/>
    <w:multiLevelType w:val="hybridMultilevel"/>
    <w:tmpl w:val="2E2236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9E838E2"/>
    <w:multiLevelType w:val="hybridMultilevel"/>
    <w:tmpl w:val="6262CD6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F7468"/>
    <w:multiLevelType w:val="hybridMultilevel"/>
    <w:tmpl w:val="DCE2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D451D"/>
    <w:multiLevelType w:val="hybridMultilevel"/>
    <w:tmpl w:val="C3E24CDA"/>
    <w:lvl w:ilvl="0" w:tplc="96884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A0381"/>
    <w:multiLevelType w:val="hybridMultilevel"/>
    <w:tmpl w:val="40380DBC"/>
    <w:lvl w:ilvl="0" w:tplc="F430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7D"/>
    <w:multiLevelType w:val="hybridMultilevel"/>
    <w:tmpl w:val="EBACBA42"/>
    <w:lvl w:ilvl="0" w:tplc="2A06A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0"/>
    <w:rsid w:val="00014CBE"/>
    <w:rsid w:val="00024672"/>
    <w:rsid w:val="00033A59"/>
    <w:rsid w:val="000375F0"/>
    <w:rsid w:val="0005352D"/>
    <w:rsid w:val="000712DE"/>
    <w:rsid w:val="00076CF7"/>
    <w:rsid w:val="00090730"/>
    <w:rsid w:val="00090B6B"/>
    <w:rsid w:val="000A5328"/>
    <w:rsid w:val="000B66A5"/>
    <w:rsid w:val="001106C7"/>
    <w:rsid w:val="00114A73"/>
    <w:rsid w:val="00125757"/>
    <w:rsid w:val="00126BEB"/>
    <w:rsid w:val="00132352"/>
    <w:rsid w:val="001438EE"/>
    <w:rsid w:val="00150413"/>
    <w:rsid w:val="00150E15"/>
    <w:rsid w:val="001651E8"/>
    <w:rsid w:val="001848AC"/>
    <w:rsid w:val="001A2723"/>
    <w:rsid w:val="001B7B29"/>
    <w:rsid w:val="001C468A"/>
    <w:rsid w:val="001C652F"/>
    <w:rsid w:val="001D1A3A"/>
    <w:rsid w:val="001E03A3"/>
    <w:rsid w:val="00201B85"/>
    <w:rsid w:val="002040B8"/>
    <w:rsid w:val="0022133D"/>
    <w:rsid w:val="002231B6"/>
    <w:rsid w:val="002344B0"/>
    <w:rsid w:val="00261F3B"/>
    <w:rsid w:val="0027356A"/>
    <w:rsid w:val="00275337"/>
    <w:rsid w:val="002A40DC"/>
    <w:rsid w:val="002B13A4"/>
    <w:rsid w:val="002C3689"/>
    <w:rsid w:val="002D065D"/>
    <w:rsid w:val="00310BEB"/>
    <w:rsid w:val="00317500"/>
    <w:rsid w:val="00322C13"/>
    <w:rsid w:val="00327DF0"/>
    <w:rsid w:val="00330359"/>
    <w:rsid w:val="00335435"/>
    <w:rsid w:val="00370955"/>
    <w:rsid w:val="003C1EB7"/>
    <w:rsid w:val="00410504"/>
    <w:rsid w:val="00411D08"/>
    <w:rsid w:val="004272AA"/>
    <w:rsid w:val="00466F21"/>
    <w:rsid w:val="00471E56"/>
    <w:rsid w:val="004A0601"/>
    <w:rsid w:val="004A6816"/>
    <w:rsid w:val="004C4E1F"/>
    <w:rsid w:val="004C70F0"/>
    <w:rsid w:val="004D330E"/>
    <w:rsid w:val="00506E0C"/>
    <w:rsid w:val="0053170A"/>
    <w:rsid w:val="005346FF"/>
    <w:rsid w:val="00535E66"/>
    <w:rsid w:val="00536C09"/>
    <w:rsid w:val="00550C2B"/>
    <w:rsid w:val="00555C6D"/>
    <w:rsid w:val="005678F5"/>
    <w:rsid w:val="005729E2"/>
    <w:rsid w:val="00596AE7"/>
    <w:rsid w:val="005F6422"/>
    <w:rsid w:val="005F7ADF"/>
    <w:rsid w:val="00606D1B"/>
    <w:rsid w:val="006215AF"/>
    <w:rsid w:val="00621F99"/>
    <w:rsid w:val="00627DD6"/>
    <w:rsid w:val="0063768F"/>
    <w:rsid w:val="0065498B"/>
    <w:rsid w:val="0066265B"/>
    <w:rsid w:val="006665A2"/>
    <w:rsid w:val="006713B8"/>
    <w:rsid w:val="00681704"/>
    <w:rsid w:val="0069581B"/>
    <w:rsid w:val="006A0908"/>
    <w:rsid w:val="006A419E"/>
    <w:rsid w:val="006C2FE3"/>
    <w:rsid w:val="006E41BB"/>
    <w:rsid w:val="00706332"/>
    <w:rsid w:val="0073713A"/>
    <w:rsid w:val="00763030"/>
    <w:rsid w:val="007743AE"/>
    <w:rsid w:val="00797488"/>
    <w:rsid w:val="007B2DC7"/>
    <w:rsid w:val="007B51C0"/>
    <w:rsid w:val="007B775C"/>
    <w:rsid w:val="007C1456"/>
    <w:rsid w:val="007F3367"/>
    <w:rsid w:val="00833F25"/>
    <w:rsid w:val="008342B4"/>
    <w:rsid w:val="008345CD"/>
    <w:rsid w:val="00842696"/>
    <w:rsid w:val="00861BE8"/>
    <w:rsid w:val="00861E70"/>
    <w:rsid w:val="00891632"/>
    <w:rsid w:val="008D590F"/>
    <w:rsid w:val="008D6304"/>
    <w:rsid w:val="008E1770"/>
    <w:rsid w:val="008E5968"/>
    <w:rsid w:val="00906253"/>
    <w:rsid w:val="00925EE0"/>
    <w:rsid w:val="00941343"/>
    <w:rsid w:val="00952FE9"/>
    <w:rsid w:val="00965FAC"/>
    <w:rsid w:val="00996168"/>
    <w:rsid w:val="009A794A"/>
    <w:rsid w:val="009C166E"/>
    <w:rsid w:val="009C6878"/>
    <w:rsid w:val="009D7952"/>
    <w:rsid w:val="00A318FE"/>
    <w:rsid w:val="00A5488D"/>
    <w:rsid w:val="00A7420A"/>
    <w:rsid w:val="00A8492A"/>
    <w:rsid w:val="00AC0CD2"/>
    <w:rsid w:val="00AD39BE"/>
    <w:rsid w:val="00B23404"/>
    <w:rsid w:val="00B2413D"/>
    <w:rsid w:val="00B45DB5"/>
    <w:rsid w:val="00B63AE0"/>
    <w:rsid w:val="00B67454"/>
    <w:rsid w:val="00B71A37"/>
    <w:rsid w:val="00BC3BB3"/>
    <w:rsid w:val="00BD6DA3"/>
    <w:rsid w:val="00BF18CD"/>
    <w:rsid w:val="00BF27DD"/>
    <w:rsid w:val="00C30987"/>
    <w:rsid w:val="00C3123F"/>
    <w:rsid w:val="00C45D80"/>
    <w:rsid w:val="00C467C2"/>
    <w:rsid w:val="00C64152"/>
    <w:rsid w:val="00C64B00"/>
    <w:rsid w:val="00C671F2"/>
    <w:rsid w:val="00C821E8"/>
    <w:rsid w:val="00C95203"/>
    <w:rsid w:val="00CA445A"/>
    <w:rsid w:val="00CB2238"/>
    <w:rsid w:val="00CB75F3"/>
    <w:rsid w:val="00CC101E"/>
    <w:rsid w:val="00CD1B13"/>
    <w:rsid w:val="00CE174D"/>
    <w:rsid w:val="00CF5B0F"/>
    <w:rsid w:val="00D25FD7"/>
    <w:rsid w:val="00D26164"/>
    <w:rsid w:val="00D30646"/>
    <w:rsid w:val="00D521D5"/>
    <w:rsid w:val="00D64D20"/>
    <w:rsid w:val="00D7076C"/>
    <w:rsid w:val="00D9396D"/>
    <w:rsid w:val="00DD6A6A"/>
    <w:rsid w:val="00E169E0"/>
    <w:rsid w:val="00E16CA9"/>
    <w:rsid w:val="00E27163"/>
    <w:rsid w:val="00E408E3"/>
    <w:rsid w:val="00E4613D"/>
    <w:rsid w:val="00E75BCF"/>
    <w:rsid w:val="00EC12B9"/>
    <w:rsid w:val="00ED0668"/>
    <w:rsid w:val="00ED1F68"/>
    <w:rsid w:val="00EE790C"/>
    <w:rsid w:val="00F01AFF"/>
    <w:rsid w:val="00F12F15"/>
    <w:rsid w:val="00F24CE9"/>
    <w:rsid w:val="00F37367"/>
    <w:rsid w:val="00F520D5"/>
    <w:rsid w:val="00F660CD"/>
    <w:rsid w:val="00F8314C"/>
    <w:rsid w:val="00F859F9"/>
    <w:rsid w:val="00FA63A3"/>
    <w:rsid w:val="00FB43AB"/>
    <w:rsid w:val="00FC106F"/>
    <w:rsid w:val="00FE05FE"/>
    <w:rsid w:val="00FE2B6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4F3A3-6F3E-4C7F-AD49-F5A9A46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7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ielce_wypunktowanie,lubu 1)_wypkt.,K-P_odwolanie,Lublin_odwolanie,Sl_Akapit z listą,maz_wyliczenie,opis dzialania,Akapit z listą5,A_wyliczenie1,Kielce_wypunktowanie1,lubu 1)_wypkt.1,K-P_odwolanie1,Lublin_odwolanie1,TREŚĆ"/>
    <w:basedOn w:val="Normalny"/>
    <w:link w:val="AkapitzlistZnak"/>
    <w:uiPriority w:val="34"/>
    <w:qFormat/>
    <w:rsid w:val="00090730"/>
    <w:pPr>
      <w:ind w:left="720"/>
    </w:pPr>
    <w:rPr>
      <w:rFonts w:ascii="Calibri" w:eastAsiaTheme="minorHAnsi" w:hAnsi="Calibri"/>
      <w:sz w:val="22"/>
      <w:szCs w:val="22"/>
    </w:rPr>
  </w:style>
  <w:style w:type="paragraph" w:styleId="Bezodstpw">
    <w:name w:val="No Spacing"/>
    <w:basedOn w:val="Normalny"/>
    <w:qFormat/>
    <w:rsid w:val="00090730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A_wyliczenie Znak,Kielce_wypunktowanie Znak,lubu 1)_wypkt. Znak,K-P_odwolanie Znak,Lublin_odwolanie Znak,Sl_Akapit z listą Znak,maz_wyliczenie Znak,opis dzialania Znak,Akapit z listą5 Znak,A_wyliczenie1 Znak,lubu 1)_wypkt.1 Znak"/>
    <w:link w:val="Akapitzlist"/>
    <w:uiPriority w:val="34"/>
    <w:qFormat/>
    <w:locked/>
    <w:rsid w:val="00090730"/>
    <w:rPr>
      <w:rFonts w:ascii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07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3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09073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1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9F84-DB0F-4B1A-940D-7B6129E5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Zagdanski, Damian</dc:creator>
  <cp:lastModifiedBy>Chodorowska, Ewa</cp:lastModifiedBy>
  <cp:revision>2</cp:revision>
  <cp:lastPrinted>2021-07-27T08:07:00Z</cp:lastPrinted>
  <dcterms:created xsi:type="dcterms:W3CDTF">2021-11-19T14:25:00Z</dcterms:created>
  <dcterms:modified xsi:type="dcterms:W3CDTF">2021-11-19T14:25:00Z</dcterms:modified>
</cp:coreProperties>
</file>