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8450" w14:textId="56D67127" w:rsidR="00AE39FF" w:rsidRDefault="00514FDC" w:rsidP="00523327">
      <w:pPr>
        <w:spacing w:after="636" w:line="276" w:lineRule="auto"/>
        <w:ind w:left="0" w:firstLine="0"/>
      </w:pPr>
      <w:r>
        <w:rPr>
          <w:b/>
        </w:rPr>
        <w:t xml:space="preserve">Załącznik </w:t>
      </w:r>
      <w:r w:rsidR="006A3AC2">
        <w:rPr>
          <w:b/>
        </w:rPr>
        <w:t xml:space="preserve">nr </w:t>
      </w:r>
      <w:r w:rsidR="004D28C3">
        <w:rPr>
          <w:b/>
        </w:rPr>
        <w:t xml:space="preserve">43 </w:t>
      </w:r>
      <w:r>
        <w:rPr>
          <w:b/>
        </w:rPr>
        <w:t xml:space="preserve">–  Procedura weryfikacji prawdziwości oświadczeń </w:t>
      </w:r>
      <w:r w:rsidR="003449F7">
        <w:rPr>
          <w:b/>
        </w:rPr>
        <w:br/>
      </w:r>
      <w:r>
        <w:rPr>
          <w:b/>
        </w:rPr>
        <w:t>o bezstronności ekspertów oceniających wnioski o dofinansowanie projektów</w:t>
      </w:r>
    </w:p>
    <w:p w14:paraId="03ADC702" w14:textId="1B486DFD" w:rsidR="00AE39FF" w:rsidRDefault="00514FDC" w:rsidP="00523327">
      <w:pPr>
        <w:spacing w:line="276" w:lineRule="auto"/>
        <w:ind w:left="-15" w:firstLine="0"/>
      </w:pPr>
      <w:r>
        <w:t xml:space="preserve">Niniejsza procedura zawiera </w:t>
      </w:r>
      <w:r>
        <w:rPr>
          <w:b/>
        </w:rPr>
        <w:t>minimalny zakres</w:t>
      </w:r>
      <w:r>
        <w:t xml:space="preserve"> weryfikacji prawdziwości oświadczeń o bezstronności ekspertów oceniających wnioski o dofinansowanie projektów i dotyczy spełnienia przesłanki powiązań oceniającego </w:t>
      </w:r>
      <w:r w:rsidR="003449F7">
        <w:br/>
      </w:r>
      <w:r>
        <w:t>z wnioskodawcą/partnerem.</w:t>
      </w:r>
    </w:p>
    <w:p w14:paraId="09B5B75F" w14:textId="49B0B2F9" w:rsidR="003449F7" w:rsidRDefault="003449F7" w:rsidP="00523327">
      <w:pPr>
        <w:spacing w:line="276" w:lineRule="auto"/>
        <w:ind w:left="-15" w:firstLine="0"/>
      </w:pPr>
    </w:p>
    <w:p w14:paraId="1ACED2BA" w14:textId="77777777" w:rsidR="0082777A" w:rsidRDefault="0082777A" w:rsidP="00523327">
      <w:pPr>
        <w:spacing w:line="276" w:lineRule="auto"/>
        <w:ind w:left="-15" w:firstLine="0"/>
      </w:pPr>
    </w:p>
    <w:p w14:paraId="3CB85851" w14:textId="0B76DC00" w:rsidR="00AE39FF" w:rsidRDefault="00514FDC" w:rsidP="00523327">
      <w:pPr>
        <w:spacing w:after="137" w:line="276" w:lineRule="auto"/>
        <w:ind w:left="0" w:firstLine="0"/>
        <w:rPr>
          <w:u w:val="single" w:color="000000"/>
        </w:rPr>
      </w:pPr>
      <w:r>
        <w:rPr>
          <w:u w:val="single" w:color="000000"/>
        </w:rPr>
        <w:t>Przebieg weryfikacji:</w:t>
      </w:r>
    </w:p>
    <w:p w14:paraId="69E2A8D7" w14:textId="77777777" w:rsidR="0082777A" w:rsidRDefault="0082777A" w:rsidP="00523327">
      <w:pPr>
        <w:spacing w:after="137" w:line="276" w:lineRule="auto"/>
        <w:ind w:left="0" w:firstLine="0"/>
      </w:pPr>
    </w:p>
    <w:p w14:paraId="0720E4EF" w14:textId="37742CD4" w:rsidR="00AE39FF" w:rsidRDefault="00514FDC" w:rsidP="00523327">
      <w:pPr>
        <w:numPr>
          <w:ilvl w:val="0"/>
          <w:numId w:val="1"/>
        </w:numPr>
        <w:spacing w:line="276" w:lineRule="auto"/>
        <w:ind w:hanging="360"/>
      </w:pPr>
      <w:r>
        <w:t>Wybór próby wniosków do weryfikacji oświadczeń – zgodnie z „Metodą doboru próby do weryfikacji prawdziwości oświadczeń o bezstronności ekspertów oceniających wnioski o dofinansowanie projektów”/powzięcie informacji o wątpliwościach co do bezstronności danego oceniającego (sygnał ostrzegawczy)</w:t>
      </w:r>
      <w:r w:rsidR="0082777A">
        <w:t>.</w:t>
      </w:r>
    </w:p>
    <w:p w14:paraId="13FB5F92" w14:textId="44B03869" w:rsidR="00AE39FF" w:rsidRDefault="00514FDC" w:rsidP="00523327">
      <w:pPr>
        <w:numPr>
          <w:ilvl w:val="0"/>
          <w:numId w:val="1"/>
        </w:numPr>
        <w:spacing w:line="276" w:lineRule="auto"/>
        <w:ind w:hanging="360"/>
      </w:pPr>
      <w:r>
        <w:t xml:space="preserve">Weryfikacji podlega 5% wniosków, jednak nie mniej niż 1 i nie więcej niż 5. Wybór wniosków odbywa się w sposób losowy, za pomocą właściwej funkcji </w:t>
      </w:r>
      <w:r w:rsidR="003449F7">
        <w:br/>
      </w:r>
      <w:r>
        <w:t>w programie Excel, po wylosowaniu ekspertów zewnętrznych do oceny wniosków w naborze. Losowanie odbywa się spośród wszystkich wniosków  złożonych w ramach danego naboru, ocenianych przez ekspertów zewnętrznych (z pominięciem wniosków, do których oświadczenia już zweryfikowano w związku ze stwierdzonymi sygnałami ostrzegawczymi).</w:t>
      </w:r>
    </w:p>
    <w:p w14:paraId="2D8E271A" w14:textId="7EE889FE" w:rsidR="00AE39FF" w:rsidRDefault="00514FDC" w:rsidP="00523327">
      <w:pPr>
        <w:numPr>
          <w:ilvl w:val="0"/>
          <w:numId w:val="1"/>
        </w:numPr>
        <w:spacing w:line="276" w:lineRule="auto"/>
        <w:ind w:hanging="360"/>
      </w:pPr>
      <w:r>
        <w:t>Ustalenie danych ekspertów oceniających wybranych do próby (na podstawie umowy zawartej z tą osobą na ocenę wniosku o dofinansowanie), tj. imię, nazwisko, PESEL, NIP</w:t>
      </w:r>
      <w:r w:rsidR="0082777A">
        <w:t>.</w:t>
      </w:r>
    </w:p>
    <w:p w14:paraId="36F959F6" w14:textId="0CD4D03B" w:rsidR="0082777A" w:rsidRDefault="0082777A" w:rsidP="00523327">
      <w:pPr>
        <w:spacing w:line="259" w:lineRule="auto"/>
        <w:ind w:left="705" w:firstLine="0"/>
      </w:pPr>
    </w:p>
    <w:p w14:paraId="5B452F23" w14:textId="082E4B67" w:rsidR="0082777A" w:rsidRDefault="0082777A">
      <w:pPr>
        <w:spacing w:after="160" w:line="259" w:lineRule="auto"/>
        <w:ind w:left="0" w:firstLine="0"/>
      </w:pPr>
      <w:r>
        <w:br w:type="page"/>
      </w:r>
    </w:p>
    <w:p w14:paraId="730F614B" w14:textId="77777777" w:rsidR="0082777A" w:rsidRDefault="0082777A" w:rsidP="00523327">
      <w:pPr>
        <w:spacing w:line="259" w:lineRule="auto"/>
        <w:ind w:left="705" w:firstLine="0"/>
      </w:pPr>
    </w:p>
    <w:tbl>
      <w:tblPr>
        <w:tblStyle w:val="TableGrid"/>
        <w:tblW w:w="10198" w:type="dxa"/>
        <w:tblInd w:w="-108" w:type="dxa"/>
        <w:tblCellMar>
          <w:top w:w="5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242"/>
        <w:gridCol w:w="3252"/>
        <w:gridCol w:w="2704"/>
      </w:tblGrid>
      <w:tr w:rsidR="00AE39FF" w14:paraId="6F2C7AE3" w14:textId="77777777" w:rsidTr="0082777A">
        <w:trPr>
          <w:trHeight w:val="1922"/>
        </w:trPr>
        <w:tc>
          <w:tcPr>
            <w:tcW w:w="6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FB5A" w14:textId="77777777" w:rsidR="00AE39FF" w:rsidRDefault="00514FDC" w:rsidP="00523327">
            <w:pPr>
              <w:spacing w:line="276" w:lineRule="auto"/>
              <w:ind w:left="0" w:firstLine="0"/>
            </w:pPr>
            <w:r>
              <w:t>W PRZYPADKU WNIOSKODAWCÓW BĘDĄCYCH PRZEDSIĘBIORCAMI, STOWARZYSZENIAMI, INNYMI ORGANIZACJAMI SPOŁECZNYMI I ZAWODOWYMI, FUNDACJAMI, ZOZ: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97B50" w14:textId="5717A19C" w:rsidR="00AE39FF" w:rsidRDefault="00514FDC" w:rsidP="00523327">
            <w:pPr>
              <w:spacing w:line="276" w:lineRule="auto"/>
              <w:ind w:left="0" w:firstLine="0"/>
            </w:pPr>
            <w:r>
              <w:t>W PRZYPADKU PODMIOTÓW PUBLICZNYCH (W TYM PAŃSTWOWYCH UCZELNI WYŻSZYCH):</w:t>
            </w:r>
          </w:p>
        </w:tc>
      </w:tr>
      <w:tr w:rsidR="00523327" w14:paraId="0953DC26" w14:textId="77777777" w:rsidTr="00CC0D83">
        <w:trPr>
          <w:trHeight w:val="3765"/>
        </w:trPr>
        <w:tc>
          <w:tcPr>
            <w:tcW w:w="61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733F11" w14:textId="77777777" w:rsidR="00523327" w:rsidRDefault="00523327" w:rsidP="00234964">
            <w:pPr>
              <w:spacing w:line="276" w:lineRule="auto"/>
              <w:ind w:left="284" w:hanging="218"/>
            </w:pPr>
            <w:r w:rsidRPr="00425AEE">
              <w:rPr>
                <w:bCs/>
              </w:rPr>
              <w:t>1.</w:t>
            </w:r>
            <w:r>
              <w:rPr>
                <w:b/>
              </w:rPr>
              <w:t xml:space="preserve"> </w:t>
            </w:r>
            <w:r>
              <w:t>Pobranie przez IP KRS („wydruk informacji pełnych”) lub CEIDG wnioskodawcy i partnerów</w:t>
            </w:r>
            <w:r>
              <w:rPr>
                <w:vertAlign w:val="superscript"/>
              </w:rPr>
              <w:footnoteReference w:id="1"/>
            </w:r>
            <w:r>
              <w:t>:</w:t>
            </w:r>
          </w:p>
          <w:p w14:paraId="18473889" w14:textId="6648A894" w:rsidR="00523327" w:rsidRDefault="00E458AB" w:rsidP="00234964">
            <w:pPr>
              <w:numPr>
                <w:ilvl w:val="0"/>
                <w:numId w:val="2"/>
              </w:numPr>
              <w:spacing w:line="276" w:lineRule="auto"/>
              <w:ind w:left="142" w:firstLine="0"/>
            </w:pPr>
            <w:hyperlink r:id="rId7" w:history="1">
              <w:r w:rsidR="00523327" w:rsidRPr="00FB1E7B">
                <w:rPr>
                  <w:rStyle w:val="Hipercze"/>
                </w:rPr>
                <w:t>https://ekrs.ms.gov.pl/web/wyszukiwarka-krs/strona</w:t>
              </w:r>
            </w:hyperlink>
            <w:hyperlink r:id="rId8">
              <w:r w:rsidR="00523327">
                <w:rPr>
                  <w:color w:val="0000FF"/>
                  <w:u w:val="single" w:color="0000FF"/>
                </w:rPr>
                <w:t>glowna/</w:t>
              </w:r>
            </w:hyperlink>
          </w:p>
          <w:p w14:paraId="6F769437" w14:textId="61694759" w:rsidR="00523327" w:rsidRPr="00523327" w:rsidRDefault="00E458AB" w:rsidP="00234964">
            <w:pPr>
              <w:numPr>
                <w:ilvl w:val="0"/>
                <w:numId w:val="2"/>
              </w:numPr>
              <w:spacing w:line="276" w:lineRule="auto"/>
              <w:ind w:left="142" w:firstLine="0"/>
              <w:rPr>
                <w:color w:val="0000FF"/>
                <w:u w:val="single" w:color="0000FF"/>
              </w:rPr>
            </w:pPr>
            <w:hyperlink r:id="rId9" w:history="1">
              <w:r w:rsidR="00523327" w:rsidRPr="00FB1E7B">
                <w:rPr>
                  <w:rStyle w:val="Hipercze"/>
                </w:rPr>
                <w:t>https://prod.ceidg.gov.pl/CEIDG/CEIDG.Public.UI/Se</w:t>
              </w:r>
            </w:hyperlink>
            <w:hyperlink r:id="rId10">
              <w:r w:rsidR="00523327" w:rsidRPr="00523327">
                <w:rPr>
                  <w:color w:val="0000FF"/>
                  <w:u w:val="single" w:color="0000FF"/>
                </w:rPr>
                <w:t>arch.aspx</w:t>
              </w:r>
            </w:hyperlink>
          </w:p>
          <w:p w14:paraId="3320F7B2" w14:textId="0D8BBF4C" w:rsidR="00523327" w:rsidRPr="00F9173E" w:rsidRDefault="00E458AB" w:rsidP="00234964">
            <w:pPr>
              <w:pStyle w:val="Akapitzlist"/>
              <w:numPr>
                <w:ilvl w:val="0"/>
                <w:numId w:val="2"/>
              </w:numPr>
              <w:spacing w:line="276" w:lineRule="auto"/>
              <w:ind w:left="142" w:firstLine="0"/>
              <w:rPr>
                <w:szCs w:val="24"/>
              </w:rPr>
            </w:pPr>
            <w:hyperlink r:id="rId11" w:history="1">
              <w:r w:rsidR="00523327" w:rsidRPr="00FB1E7B">
                <w:rPr>
                  <w:rStyle w:val="Hipercze"/>
                  <w:szCs w:val="24"/>
                </w:rPr>
                <w:t>https://rejestr.io/</w:t>
              </w:r>
            </w:hyperlink>
          </w:p>
          <w:p w14:paraId="7F508C93" w14:textId="12CB28EE" w:rsidR="00523327" w:rsidRDefault="00523327" w:rsidP="00523327">
            <w:pPr>
              <w:spacing w:line="276" w:lineRule="auto"/>
              <w:ind w:left="142" w:firstLine="0"/>
            </w:pPr>
            <w:r>
              <w:t>Zakres weryfikowanych danych powinien sięgać do 3 lat wstecz.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2DD511" w14:textId="6021C049" w:rsidR="00523327" w:rsidRDefault="00523327" w:rsidP="00425AEE">
            <w:pPr>
              <w:spacing w:line="276" w:lineRule="auto"/>
              <w:ind w:left="14" w:hanging="14"/>
            </w:pPr>
            <w:r w:rsidRPr="00425AEE">
              <w:rPr>
                <w:bCs/>
              </w:rPr>
              <w:t>1.</w:t>
            </w:r>
            <w:r>
              <w:rPr>
                <w:b/>
              </w:rPr>
              <w:t xml:space="preserve"> </w:t>
            </w:r>
            <w:r>
              <w:t>Ustalenie danych władz uczelni/kierownictwa instytucji publicznej na stronie Biuletynu Informacji Publicznej danej uczelni/instytucji publicznej. Brak ram czasowych – bazowanie na danych publikowanych na dzień weryfikacji.</w:t>
            </w:r>
          </w:p>
        </w:tc>
      </w:tr>
      <w:tr w:rsidR="00AE39FF" w14:paraId="5648462C" w14:textId="77777777" w:rsidTr="00CC0D83">
        <w:tblPrEx>
          <w:tblCellMar>
            <w:right w:w="46" w:type="dxa"/>
          </w:tblCellMar>
        </w:tblPrEx>
        <w:trPr>
          <w:trHeight w:val="1310"/>
        </w:trPr>
        <w:tc>
          <w:tcPr>
            <w:tcW w:w="6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77F" w14:textId="544C601B" w:rsidR="00AE39FF" w:rsidRDefault="00514FDC" w:rsidP="00523327">
            <w:pPr>
              <w:spacing w:line="276" w:lineRule="auto"/>
              <w:ind w:left="360" w:hanging="360"/>
            </w:pPr>
            <w:r w:rsidRPr="00425AEE">
              <w:rPr>
                <w:bCs/>
              </w:rPr>
              <w:t>2.</w:t>
            </w:r>
            <w:r>
              <w:rPr>
                <w:b/>
              </w:rPr>
              <w:t xml:space="preserve"> </w:t>
            </w:r>
            <w:r>
              <w:t>Porównanie danych eksperta oceniającego z danymi pobranymi z ww. rejestrów</w:t>
            </w:r>
            <w:r w:rsidR="003F49FF">
              <w:t>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0C00" w14:textId="2B40A78A" w:rsidR="00AE39FF" w:rsidRDefault="00514FDC" w:rsidP="00425AEE">
            <w:pPr>
              <w:spacing w:line="276" w:lineRule="auto"/>
              <w:ind w:left="14" w:right="94" w:hanging="14"/>
            </w:pPr>
            <w:r w:rsidRPr="00425AEE">
              <w:rPr>
                <w:bCs/>
              </w:rPr>
              <w:t>2.</w:t>
            </w:r>
            <w:r>
              <w:rPr>
                <w:b/>
              </w:rPr>
              <w:t xml:space="preserve"> </w:t>
            </w:r>
            <w:r>
              <w:t>Porównanie danych eksperta oceniającego z danymi pobranymi z BIP instytucji/uczelni</w:t>
            </w:r>
          </w:p>
        </w:tc>
      </w:tr>
      <w:tr w:rsidR="00AE39FF" w14:paraId="32D78D01" w14:textId="77777777" w:rsidTr="00234964">
        <w:tblPrEx>
          <w:tblCellMar>
            <w:right w:w="46" w:type="dxa"/>
          </w:tblCellMar>
        </w:tblPrEx>
        <w:trPr>
          <w:trHeight w:val="1065"/>
        </w:trPr>
        <w:tc>
          <w:tcPr>
            <w:tcW w:w="6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EE96" w14:textId="77777777" w:rsidR="00AE39FF" w:rsidRDefault="00514FDC" w:rsidP="00523327">
            <w:pPr>
              <w:spacing w:line="276" w:lineRule="auto"/>
              <w:ind w:left="0" w:firstLine="0"/>
            </w:pPr>
            <w:r>
              <w:t>A) brak zbieżności – koniec weryfikacji danego eksperta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B9D9" w14:textId="77777777" w:rsidR="00AE39FF" w:rsidRDefault="00514FDC" w:rsidP="00523327">
            <w:pPr>
              <w:spacing w:line="276" w:lineRule="auto"/>
              <w:ind w:left="0" w:firstLine="0"/>
            </w:pPr>
            <w:r>
              <w:t>A) brak zbieżności – koniec weryfikacji danego eksperta</w:t>
            </w:r>
          </w:p>
        </w:tc>
      </w:tr>
      <w:tr w:rsidR="00425AEE" w14:paraId="7C533247" w14:textId="77777777" w:rsidTr="00234964">
        <w:tblPrEx>
          <w:tblCellMar>
            <w:right w:w="46" w:type="dxa"/>
          </w:tblCellMar>
        </w:tblPrEx>
        <w:trPr>
          <w:trHeight w:val="2343"/>
        </w:trPr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492AAB" w14:textId="226D4ECC" w:rsidR="00425AEE" w:rsidRDefault="00425AEE" w:rsidP="00425AEE">
            <w:pPr>
              <w:spacing w:line="276" w:lineRule="auto"/>
              <w:ind w:left="0" w:firstLine="0"/>
            </w:pPr>
            <w:r>
              <w:t>B1) zbieżność PESEL/NIP – wykluczenie eksperta z oceny wniosku o dofinansowanie i ponowne rozlosowanie ocenianych przez niego wniosków pomiędzy innych członków KOP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AAA7" w14:textId="52BDF873" w:rsidR="00425AEE" w:rsidRDefault="00425AEE" w:rsidP="00425AEE">
            <w:pPr>
              <w:spacing w:line="276" w:lineRule="auto"/>
              <w:ind w:left="0" w:firstLine="0"/>
            </w:pPr>
            <w:r>
              <w:t>B2) zbieżność imienia i nazwiska/nazwiska - konieczność bezpośredniego wyjaśnienia z ekspertem ewentualnych powiązań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9BE9" w14:textId="56749D28" w:rsidR="00425AEE" w:rsidRDefault="00425AEE" w:rsidP="00425AEE">
            <w:pPr>
              <w:spacing w:line="276" w:lineRule="auto"/>
              <w:ind w:left="0" w:firstLine="0"/>
            </w:pPr>
            <w:r>
              <w:t>B) zbieżność imienia i nazwiska – konieczność bezpośredniego wyjaśnienia z ekspertem ewentualnych powiązań</w:t>
            </w:r>
          </w:p>
        </w:tc>
      </w:tr>
      <w:tr w:rsidR="00425AEE" w14:paraId="176476D7" w14:textId="77777777" w:rsidTr="00234964">
        <w:tblPrEx>
          <w:tblCellMar>
            <w:right w:w="46" w:type="dxa"/>
          </w:tblCellMar>
        </w:tblPrEx>
        <w:trPr>
          <w:trHeight w:val="2347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C98C" w14:textId="77777777" w:rsidR="00425AEE" w:rsidRDefault="00425AEE" w:rsidP="00523327">
            <w:pPr>
              <w:spacing w:line="276" w:lineRule="auto"/>
              <w:ind w:left="0" w:firstLine="0"/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065B" w14:textId="77777777" w:rsidR="00425AEE" w:rsidRDefault="00425AEE" w:rsidP="00523327">
            <w:pPr>
              <w:spacing w:line="276" w:lineRule="auto"/>
              <w:ind w:left="0" w:firstLine="0"/>
            </w:pPr>
            <w:r>
              <w:t>B2) potwierdzenie powiązań - wykluczenie eksperta z oceny wniosku o dofinansowanie i ponowne rozlosowanie ocenianych przez niego wniosków pomiędzy innych członków KOP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0081F" w14:textId="36D4F608" w:rsidR="00425AEE" w:rsidRDefault="00425AEE" w:rsidP="00523327">
            <w:pPr>
              <w:spacing w:line="276" w:lineRule="auto"/>
              <w:ind w:left="0" w:firstLine="0"/>
            </w:pPr>
            <w:r>
              <w:t xml:space="preserve">B1) potwierdzenie powiązań - wykluczenie eksperta z oceny wniosku o dofinansowanie i ponowne rozlosowanie ocenianych przez niego wniosków pomiędzy innych członków KOP </w:t>
            </w:r>
          </w:p>
        </w:tc>
      </w:tr>
    </w:tbl>
    <w:p w14:paraId="07264349" w14:textId="16FCF7E7" w:rsidR="00523327" w:rsidRDefault="00523327" w:rsidP="00523327">
      <w:pPr>
        <w:spacing w:after="116" w:line="276" w:lineRule="auto"/>
        <w:ind w:left="0" w:firstLine="0"/>
      </w:pPr>
    </w:p>
    <w:p w14:paraId="01BF21FA" w14:textId="1C872B1F" w:rsidR="0082777A" w:rsidRDefault="0082777A" w:rsidP="00523327">
      <w:pPr>
        <w:spacing w:after="116" w:line="276" w:lineRule="auto"/>
        <w:ind w:left="0" w:firstLine="0"/>
      </w:pPr>
    </w:p>
    <w:p w14:paraId="088DF9B1" w14:textId="77777777" w:rsidR="0082777A" w:rsidRDefault="0082777A" w:rsidP="00523327">
      <w:pPr>
        <w:spacing w:after="116" w:line="276" w:lineRule="auto"/>
        <w:ind w:left="0" w:firstLine="0"/>
      </w:pPr>
    </w:p>
    <w:p w14:paraId="042FC70A" w14:textId="2E261CA9" w:rsidR="00AE39FF" w:rsidRDefault="00514FDC" w:rsidP="00523327">
      <w:pPr>
        <w:spacing w:after="116" w:line="276" w:lineRule="auto"/>
        <w:ind w:left="0" w:firstLine="0"/>
      </w:pPr>
      <w:r>
        <w:t xml:space="preserve">Uwaga: </w:t>
      </w:r>
    </w:p>
    <w:p w14:paraId="37F36F33" w14:textId="77777777" w:rsidR="00AE39FF" w:rsidRDefault="00514FDC" w:rsidP="009B6916">
      <w:pPr>
        <w:spacing w:after="34" w:line="276" w:lineRule="auto"/>
        <w:ind w:left="0" w:firstLine="0"/>
      </w:pPr>
      <w:r>
        <w:t>Z uwagi na fakt, iż ekspert oświadcza o braku powiązań rodzinnych z wnioskodawcą:</w:t>
      </w:r>
    </w:p>
    <w:p w14:paraId="10FDC395" w14:textId="77777777" w:rsidR="00AE39FF" w:rsidRDefault="00514FDC" w:rsidP="009B6916">
      <w:pPr>
        <w:numPr>
          <w:ilvl w:val="1"/>
          <w:numId w:val="1"/>
        </w:numPr>
        <w:spacing w:after="33" w:line="276" w:lineRule="auto"/>
        <w:ind w:left="1418" w:hanging="360"/>
      </w:pPr>
      <w:r>
        <w:t>Wyjaśnienia wymaga zbieżność również samego nazwiska – nie tylko imienia i nazwiska,</w:t>
      </w:r>
    </w:p>
    <w:p w14:paraId="7244EC9D" w14:textId="17149D95" w:rsidR="00AE39FF" w:rsidRDefault="00514FDC" w:rsidP="009B6916">
      <w:pPr>
        <w:numPr>
          <w:ilvl w:val="1"/>
          <w:numId w:val="1"/>
        </w:numPr>
        <w:spacing w:after="431" w:line="276" w:lineRule="auto"/>
        <w:ind w:left="1418" w:hanging="360"/>
      </w:pPr>
      <w:r>
        <w:t xml:space="preserve">Należy zwrócić również uwagę na pokrywający się człon nazwiska </w:t>
      </w:r>
      <w:r w:rsidR="009B6916">
        <w:br/>
      </w:r>
      <w:r>
        <w:t>w nazwiskach dwuczłonowych.</w:t>
      </w:r>
    </w:p>
    <w:p w14:paraId="593639CC" w14:textId="77777777" w:rsidR="00AE39FF" w:rsidRDefault="00514FDC" w:rsidP="00523327">
      <w:pPr>
        <w:numPr>
          <w:ilvl w:val="0"/>
          <w:numId w:val="1"/>
        </w:numPr>
        <w:spacing w:after="123" w:line="276" w:lineRule="auto"/>
        <w:ind w:hanging="360"/>
      </w:pPr>
      <w:r>
        <w:t>Dokumentowanie weryfikacji:</w:t>
      </w:r>
    </w:p>
    <w:p w14:paraId="05F1226B" w14:textId="0311E242" w:rsidR="00AE39FF" w:rsidRDefault="00514FDC" w:rsidP="00523327">
      <w:pPr>
        <w:spacing w:line="276" w:lineRule="auto"/>
        <w:ind w:left="0" w:firstLine="0"/>
      </w:pPr>
      <w:r>
        <w:t>Powyższa weryfikacja (w tym przede wszystkim losowanie wniosków oraz wynik weryfikacji poszczególnych oceniających) jest dokumentowana w formie notatki (wspólnej dla całej weryfikacji w ramach konkursu).</w:t>
      </w:r>
      <w:r>
        <w:rPr>
          <w:rFonts w:ascii="Calibri" w:eastAsia="Calibri" w:hAnsi="Calibri" w:cs="Calibri"/>
          <w:sz w:val="22"/>
        </w:rPr>
        <w:t xml:space="preserve"> </w:t>
      </w:r>
      <w:r>
        <w:t>Notatka dostarczana będzie do przewodniczącego Komisji Oceny Projektów i archiwizowana wraz z dokumentacją dotyczącą przebiegu danego konkursu.</w:t>
      </w:r>
    </w:p>
    <w:sectPr w:rsidR="00AE39FF" w:rsidSect="00F9173E">
      <w:headerReference w:type="first" r:id="rId12"/>
      <w:footerReference w:type="first" r:id="rId13"/>
      <w:footnotePr>
        <w:numRestart w:val="eachPage"/>
      </w:footnotePr>
      <w:pgSz w:w="11906" w:h="16838"/>
      <w:pgMar w:top="725" w:right="1445" w:bottom="357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56B30" w14:textId="77777777" w:rsidR="00E458AB" w:rsidRDefault="00E458AB">
      <w:pPr>
        <w:spacing w:line="240" w:lineRule="auto"/>
      </w:pPr>
      <w:r>
        <w:separator/>
      </w:r>
    </w:p>
  </w:endnote>
  <w:endnote w:type="continuationSeparator" w:id="0">
    <w:p w14:paraId="6CC8FF1C" w14:textId="77777777" w:rsidR="00E458AB" w:rsidRDefault="00E45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9E62F2" w:rsidRPr="00383314" w14:paraId="7E497FEB" w14:textId="77777777" w:rsidTr="009E62F2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53FAD25E" w14:textId="77777777" w:rsidR="009E62F2" w:rsidRPr="00383314" w:rsidRDefault="009E62F2" w:rsidP="009E62F2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 w:rsidRPr="00383314">
            <w:rPr>
              <w:rFonts w:ascii="Times New Roman" w:hAnsi="Times New Roman" w:cs="Times New Roman"/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 wp14:anchorId="64BD455E" wp14:editId="4C1B0FAC">
                <wp:extent cx="795166" cy="432000"/>
                <wp:effectExtent l="19050" t="0" r="4934" b="0"/>
                <wp:docPr id="9" name="Obraz 1" descr="C:\Users\M0D63~1.BIA\AppData\Local\Temp\XPgrpwise\DragDropSources\5DE919A0WUPKIELCE1001686F6C1FD01\wup_pionowe-1024x74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0D63~1.BIA\AppData\Local\Temp\XPgrpwise\DragDropSources\5DE919A0WUPKIELCE1001686F6C1FD01\wup_pionowe-1024x748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5166" cy="43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586549A5" w14:textId="77777777" w:rsidR="009E62F2" w:rsidRDefault="009E62F2" w:rsidP="0082777A">
          <w:pPr>
            <w:spacing w:line="240" w:lineRule="auto"/>
            <w:jc w:val="right"/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40C7358E" w14:textId="77777777" w:rsidR="009E62F2" w:rsidRPr="00383314" w:rsidRDefault="009E62F2" w:rsidP="0082777A">
          <w:pPr>
            <w:spacing w:line="240" w:lineRule="auto"/>
            <w:jc w:val="right"/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  <w:t>Wojewódzki Urząd Pracy w Kielcach</w:t>
          </w:r>
        </w:p>
        <w:p w14:paraId="355E50AB" w14:textId="77777777" w:rsidR="009E62F2" w:rsidRPr="00383314" w:rsidRDefault="009E62F2" w:rsidP="0082777A">
          <w:pPr>
            <w:spacing w:line="240" w:lineRule="auto"/>
            <w:jc w:val="right"/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 w:rsidRPr="00D47B8D"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br/>
            <w:t>tel.: (048) 41</w:t>
          </w:r>
          <w:r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t>364</w:t>
          </w:r>
          <w:r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br/>
          </w:r>
          <w:r w:rsidRPr="00383314">
            <w:rPr>
              <w:rFonts w:ascii="Times New Roman" w:hAnsi="Times New Roman" w:cs="Times New Roman"/>
              <w:sz w:val="16"/>
              <w:szCs w:val="16"/>
            </w:rPr>
            <w:t>e-mail: wup@wup.kielce.pl,</w:t>
          </w:r>
          <w:r w:rsidRPr="00383314">
            <w:rPr>
              <w:rFonts w:ascii="Times New Roman" w:hAnsi="Times New Roman" w:cs="Times New Roman"/>
              <w:color w:val="000000" w:themeColor="text1"/>
              <w:sz w:val="16"/>
              <w:szCs w:val="16"/>
            </w:rPr>
            <w:t xml:space="preserve">  wupkielce.praca.gov.pl</w:t>
          </w:r>
        </w:p>
      </w:tc>
    </w:tr>
  </w:tbl>
  <w:p w14:paraId="4AB47E8B" w14:textId="77777777" w:rsidR="00F9173E" w:rsidRDefault="00F9173E" w:rsidP="00827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59B40" w14:textId="77777777" w:rsidR="00E458AB" w:rsidRDefault="00E458AB">
      <w:pPr>
        <w:spacing w:line="249" w:lineRule="auto"/>
        <w:ind w:left="0" w:firstLine="0"/>
      </w:pPr>
      <w:r>
        <w:separator/>
      </w:r>
    </w:p>
  </w:footnote>
  <w:footnote w:type="continuationSeparator" w:id="0">
    <w:p w14:paraId="595DCB11" w14:textId="77777777" w:rsidR="00E458AB" w:rsidRDefault="00E458AB">
      <w:pPr>
        <w:spacing w:line="249" w:lineRule="auto"/>
        <w:ind w:left="0" w:firstLine="0"/>
      </w:pPr>
      <w:r>
        <w:continuationSeparator/>
      </w:r>
    </w:p>
  </w:footnote>
  <w:footnote w:id="1">
    <w:p w14:paraId="6FB60D9B" w14:textId="77777777" w:rsidR="00523327" w:rsidRDefault="00523327">
      <w:pPr>
        <w:pStyle w:val="footnotedescription"/>
      </w:pPr>
      <w:r>
        <w:rPr>
          <w:rStyle w:val="footnotemark"/>
        </w:rPr>
        <w:footnoteRef/>
      </w:r>
      <w:r>
        <w:t xml:space="preserve"> Po zespoleniu portalu CEIDG oraz wyszukiwarki KRS z portalem biznes.gov. </w:t>
      </w:r>
      <w:proofErr w:type="spellStart"/>
      <w:r>
        <w:t>pl</w:t>
      </w:r>
      <w:proofErr w:type="spellEnd"/>
      <w:r>
        <w:t xml:space="preserve"> (planowane wejście w życie zmiany 1.07.2021 r.) dane powinny być pobierane z portalu biznes.gov.pl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065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4252"/>
      <w:gridCol w:w="993"/>
      <w:gridCol w:w="2976"/>
    </w:tblGrid>
    <w:tr w:rsidR="00F9173E" w14:paraId="4FFA287D" w14:textId="77777777" w:rsidTr="000A2845">
      <w:tc>
        <w:tcPr>
          <w:tcW w:w="1844" w:type="dxa"/>
          <w:tcBorders>
            <w:bottom w:val="single" w:sz="4" w:space="0" w:color="auto"/>
          </w:tcBorders>
          <w:vAlign w:val="center"/>
        </w:tcPr>
        <w:p w14:paraId="0EA45BC5" w14:textId="77777777" w:rsidR="00F9173E" w:rsidRDefault="00F9173E" w:rsidP="00F9173E">
          <w:pPr>
            <w:pStyle w:val="Nagwek"/>
            <w:rPr>
              <w:rFonts w:ascii="Times New Roman" w:hAnsi="Times New Roman" w:cs="Times New Roman"/>
              <w:b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4AF018C1" wp14:editId="77F279AE">
                <wp:extent cx="991870" cy="526415"/>
                <wp:effectExtent l="19050" t="0" r="0" b="0"/>
                <wp:docPr id="5" name="Obraz 1" descr="C:\Users\m.bialy\AppData\Local\Microsoft\Windows\INetCache\Content.Word\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logo_FE_Program_Regionalny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bottom w:val="single" w:sz="4" w:space="0" w:color="auto"/>
          </w:tcBorders>
        </w:tcPr>
        <w:p w14:paraId="52615B86" w14:textId="77777777" w:rsidR="00F9173E" w:rsidRDefault="00F9173E" w:rsidP="00F9173E">
          <w:pPr>
            <w:pStyle w:val="Nagwek"/>
            <w:tabs>
              <w:tab w:val="clear" w:pos="4536"/>
              <w:tab w:val="clear" w:pos="9072"/>
              <w:tab w:val="right" w:pos="4036"/>
            </w:tabs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4315EA">
            <w:rPr>
              <w:rFonts w:ascii="Times New Roman" w:hAnsi="Times New Roman" w:cs="Times New Roman"/>
              <w:b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2C32F2B0" wp14:editId="399501C3">
                <wp:simplePos x="0" y="0"/>
                <wp:positionH relativeFrom="column">
                  <wp:posOffset>2145235</wp:posOffset>
                </wp:positionH>
                <wp:positionV relativeFrom="paragraph">
                  <wp:posOffset>101989</wp:posOffset>
                </wp:positionV>
                <wp:extent cx="1119318" cy="420364"/>
                <wp:effectExtent l="19050" t="0" r="4632" b="0"/>
                <wp:wrapNone/>
                <wp:docPr id="1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2"/>
                        <a:srcRect l="54081" t="26598" r="29253" b="206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9318" cy="4203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     </w:t>
          </w:r>
          <w:r>
            <w:rPr>
              <w:noProof/>
            </w:rPr>
            <w:drawing>
              <wp:inline distT="0" distB="0" distL="0" distR="0" wp14:anchorId="247155AE" wp14:editId="2AF0C4C3">
                <wp:extent cx="1465365" cy="492000"/>
                <wp:effectExtent l="0" t="0" r="0" b="0"/>
                <wp:docPr id="2" name="Obraz 1" descr="C:\Users\m.bialy\AppData\Local\Microsoft\Windows\INetCache\Content.Word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4533" cy="4950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</w:t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ab/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7C00FE0A" w14:textId="77777777" w:rsidR="00F9173E" w:rsidRPr="00865B3F" w:rsidRDefault="00F9173E" w:rsidP="00F9173E">
          <w:pPr>
            <w:rPr>
              <w:sz w:val="18"/>
              <w:szCs w:val="18"/>
              <w:lang w:eastAsia="pl-PL"/>
            </w:rPr>
          </w:pPr>
          <w:r>
            <w:rPr>
              <w:sz w:val="18"/>
              <w:szCs w:val="18"/>
              <w:lang w:eastAsia="pl-PL"/>
            </w:rPr>
            <w:t xml:space="preserve">                                </w:t>
          </w:r>
        </w:p>
        <w:p w14:paraId="4D1EC815" w14:textId="77777777" w:rsidR="00F9173E" w:rsidRPr="00D17735" w:rsidRDefault="00F9173E" w:rsidP="00F9173E">
          <w:pPr>
            <w:rPr>
              <w:lang w:eastAsia="pl-PL"/>
            </w:rPr>
          </w:pPr>
        </w:p>
      </w:tc>
      <w:tc>
        <w:tcPr>
          <w:tcW w:w="2976" w:type="dxa"/>
          <w:tcBorders>
            <w:bottom w:val="single" w:sz="4" w:space="0" w:color="auto"/>
          </w:tcBorders>
        </w:tcPr>
        <w:p w14:paraId="30EEB09C" w14:textId="77777777" w:rsidR="00F9173E" w:rsidRDefault="00F9173E" w:rsidP="00F9173E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A90643">
            <w:rPr>
              <w:rFonts w:ascii="Times New Roman" w:hAnsi="Times New Roman" w:cs="Times New Roman"/>
              <w:b/>
              <w:noProof/>
              <w:sz w:val="16"/>
              <w:szCs w:val="16"/>
            </w:rPr>
            <w:drawing>
              <wp:inline distT="0" distB="0" distL="0" distR="0" wp14:anchorId="71B92A6E" wp14:editId="361143E8">
                <wp:extent cx="1833552" cy="539750"/>
                <wp:effectExtent l="0" t="0" r="0" b="0"/>
                <wp:docPr id="4" name="Obraz 7" descr="C:\Users\m.bialy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m.bialy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9015" cy="541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63829D" w14:textId="77777777" w:rsidR="00F9173E" w:rsidRDefault="00F917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569A7"/>
    <w:multiLevelType w:val="hybridMultilevel"/>
    <w:tmpl w:val="E2F80208"/>
    <w:lvl w:ilvl="0" w:tplc="6E9A7C0A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C4DF46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6E035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6CC8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862D5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FC3B9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6E03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EADB6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C493E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D17522"/>
    <w:multiLevelType w:val="hybridMultilevel"/>
    <w:tmpl w:val="AF027884"/>
    <w:lvl w:ilvl="0" w:tplc="F3FC9EC6">
      <w:start w:val="1"/>
      <w:numFmt w:val="lowerLetter"/>
      <w:lvlText w:val="%1.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1C3956">
      <w:start w:val="1"/>
      <w:numFmt w:val="lowerLetter"/>
      <w:lvlText w:val="%2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7AEC2E">
      <w:start w:val="1"/>
      <w:numFmt w:val="lowerRoman"/>
      <w:lvlText w:val="%3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02F74">
      <w:start w:val="1"/>
      <w:numFmt w:val="decimal"/>
      <w:lvlText w:val="%4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C6FF72">
      <w:start w:val="1"/>
      <w:numFmt w:val="lowerLetter"/>
      <w:lvlText w:val="%5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E0BF42">
      <w:start w:val="1"/>
      <w:numFmt w:val="lowerRoman"/>
      <w:lvlText w:val="%6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40E98E">
      <w:start w:val="1"/>
      <w:numFmt w:val="decimal"/>
      <w:lvlText w:val="%7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BE2B8A">
      <w:start w:val="1"/>
      <w:numFmt w:val="lowerLetter"/>
      <w:lvlText w:val="%8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1AFD90">
      <w:start w:val="1"/>
      <w:numFmt w:val="lowerRoman"/>
      <w:lvlText w:val="%9"/>
      <w:lvlJc w:val="left"/>
      <w:pPr>
        <w:ind w:left="7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9FF"/>
    <w:rsid w:val="000C5AD8"/>
    <w:rsid w:val="00234964"/>
    <w:rsid w:val="003449F7"/>
    <w:rsid w:val="00380169"/>
    <w:rsid w:val="003F49FF"/>
    <w:rsid w:val="00416473"/>
    <w:rsid w:val="00425AEE"/>
    <w:rsid w:val="004D28C3"/>
    <w:rsid w:val="00514FDC"/>
    <w:rsid w:val="00523327"/>
    <w:rsid w:val="006A3AC2"/>
    <w:rsid w:val="0082777A"/>
    <w:rsid w:val="008C15AB"/>
    <w:rsid w:val="008D2DE3"/>
    <w:rsid w:val="009B6916"/>
    <w:rsid w:val="009E62F2"/>
    <w:rsid w:val="00AE39FF"/>
    <w:rsid w:val="00CC0D83"/>
    <w:rsid w:val="00E458AB"/>
    <w:rsid w:val="00F9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3E841"/>
  <w15:docId w15:val="{0B9700CE-39B2-4684-85F1-F1CAD530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363" w:lineRule="auto"/>
      <w:ind w:left="730" w:hanging="37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9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917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173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9173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73E"/>
    <w:rPr>
      <w:rFonts w:ascii="Arial" w:eastAsia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F9173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73E"/>
    <w:rPr>
      <w:rFonts w:ascii="Arial" w:eastAsia="Arial" w:hAnsi="Arial" w:cs="Arial"/>
      <w:color w:val="000000"/>
      <w:sz w:val="24"/>
    </w:rPr>
  </w:style>
  <w:style w:type="table" w:styleId="Tabela-Siatka">
    <w:name w:val="Table Grid"/>
    <w:basedOn w:val="Standardowy"/>
    <w:uiPriority w:val="59"/>
    <w:rsid w:val="00F9173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D28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69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jestr.io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Falborska</dc:creator>
  <cp:keywords/>
  <cp:lastModifiedBy>Krzysztof Żerdecki</cp:lastModifiedBy>
  <cp:revision>12</cp:revision>
  <dcterms:created xsi:type="dcterms:W3CDTF">2021-12-03T07:33:00Z</dcterms:created>
  <dcterms:modified xsi:type="dcterms:W3CDTF">2021-12-03T12:58:00Z</dcterms:modified>
</cp:coreProperties>
</file>