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3978BB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ROPS-I.052.</w:t>
      </w:r>
      <w:r w:rsidR="0093736F">
        <w:rPr>
          <w:rFonts w:ascii="Times New Roman" w:hAnsi="Times New Roman" w:cs="Times New Roman"/>
          <w:sz w:val="24"/>
          <w:szCs w:val="24"/>
        </w:rPr>
        <w:t>2</w:t>
      </w:r>
      <w:r w:rsidRPr="006419B3">
        <w:rPr>
          <w:rFonts w:ascii="Times New Roman" w:hAnsi="Times New Roman" w:cs="Times New Roman"/>
          <w:sz w:val="24"/>
          <w:szCs w:val="24"/>
        </w:rPr>
        <w:t>.2021</w:t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419B3">
        <w:rPr>
          <w:rFonts w:ascii="Times New Roman" w:hAnsi="Times New Roman" w:cs="Times New Roman"/>
          <w:sz w:val="24"/>
          <w:szCs w:val="24"/>
        </w:rPr>
        <w:t xml:space="preserve">Kielce, </w:t>
      </w:r>
      <w:r w:rsidR="00147EF5">
        <w:rPr>
          <w:rFonts w:ascii="Times New Roman" w:hAnsi="Times New Roman" w:cs="Times New Roman"/>
          <w:sz w:val="24"/>
          <w:szCs w:val="24"/>
        </w:rPr>
        <w:t>2</w:t>
      </w:r>
      <w:r w:rsidR="0017425E">
        <w:rPr>
          <w:rFonts w:ascii="Times New Roman" w:hAnsi="Times New Roman" w:cs="Times New Roman"/>
          <w:sz w:val="24"/>
          <w:szCs w:val="24"/>
        </w:rPr>
        <w:t>0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17425E">
        <w:rPr>
          <w:rFonts w:ascii="Times New Roman" w:hAnsi="Times New Roman" w:cs="Times New Roman"/>
          <w:sz w:val="24"/>
          <w:szCs w:val="24"/>
        </w:rPr>
        <w:t>październik</w:t>
      </w:r>
      <w:r w:rsidRPr="006419B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3978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Przedmiotem zamówienia jest</w:t>
      </w:r>
      <w:r w:rsidR="0017425E" w:rsidRPr="0017425E">
        <w:rPr>
          <w:rFonts w:ascii="Times New Roman" w:hAnsi="Times New Roman" w:cs="Times New Roman"/>
          <w:sz w:val="24"/>
          <w:szCs w:val="24"/>
        </w:rPr>
        <w:t xml:space="preserve"> usługa przeprowadzenia dwudniowych szkoleń obejmująca zapewnienie trenerów dla potrzeb Regionalnego Ośrodka Polityki Społecznej Urzędu Marszałkowskiego Województwa Świętokrzyskiego w Kielcach w związku z realizacją projektu pn.: „Kompetencje plus" w ramach Programu Operacyjnego Wiedza Edukacja Rozwój, finansowanego ze środków Europejskiego Funduszu Społecznego na lata 2014-2020. Projekt realizowany jest przez Lidera – Województwo Podkarpackie / Regionalny Ośrodek Polityki Społecznej w Rzeszowie oraz Partnera Województwo Świętokrzyskie / Regionalny Ośrodek Polityki Społecznej Urzędu Marszałkowskiego w Kielcach</w:t>
      </w:r>
      <w:r w:rsidRPr="006419B3">
        <w:rPr>
          <w:rFonts w:ascii="Times New Roman" w:hAnsi="Times New Roman" w:cs="Times New Roman"/>
          <w:sz w:val="24"/>
          <w:szCs w:val="24"/>
        </w:rPr>
        <w:t>.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Kod CPV – 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80000000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 usługi edukacyjne i szkoleniowe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65441">
        <w:rPr>
          <w:rFonts w:ascii="Times New Roman" w:hAnsi="Times New Roman" w:cs="Times New Roman"/>
        </w:rPr>
        <w:t xml:space="preserve"> do 1</w:t>
      </w:r>
      <w:r w:rsidR="0017425E">
        <w:rPr>
          <w:rFonts w:ascii="Times New Roman" w:hAnsi="Times New Roman" w:cs="Times New Roman"/>
        </w:rPr>
        <w:t>4</w:t>
      </w:r>
      <w:r w:rsidR="00A65441">
        <w:rPr>
          <w:rFonts w:ascii="Times New Roman" w:hAnsi="Times New Roman" w:cs="Times New Roman"/>
        </w:rPr>
        <w:t>.01.2022</w:t>
      </w:r>
      <w:r w:rsidRPr="00FD039A">
        <w:rPr>
          <w:rFonts w:ascii="Times New Roman" w:hAnsi="Times New Roman" w:cs="Times New Roman"/>
        </w:rPr>
        <w:t>.</w:t>
      </w:r>
    </w:p>
    <w:p w:rsidR="00A423F1" w:rsidRDefault="0017425E" w:rsidP="0017425E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Metoda </w:t>
      </w:r>
      <w:r w:rsidRPr="0017425E">
        <w:rPr>
          <w:rFonts w:ascii="Times New Roman" w:hAnsi="Times New Roman" w:cs="Times New Roman"/>
        </w:rPr>
        <w:t>prowadzenia szkoleń: forma zdalna (online) z wykorzystaniem teleinformatycznych środków łączności</w:t>
      </w:r>
      <w:r w:rsidR="00A423F1">
        <w:rPr>
          <w:rFonts w:ascii="Times New Roman" w:hAnsi="Times New Roman" w:cs="Times New Roman"/>
        </w:rPr>
        <w:t>.</w:t>
      </w:r>
    </w:p>
    <w:p w:rsidR="00155FC9" w:rsidRDefault="00155FC9" w:rsidP="0017425E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:rsidR="00155FC9" w:rsidRPr="006419B3" w:rsidRDefault="00155FC9" w:rsidP="0017425E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Z uwagi na fakt, że szacunkowa wartość zamówienia nie przekracza wartości 30 000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EURO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, postępowanie prowadzone jest bez stosowania przepisów ustawy z dnia 11 września 2019 r.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zgodnie z Art. 2 ust. 1 pkt. 1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zamówień publicznych (</w:t>
      </w:r>
      <w:proofErr w:type="spellStart"/>
      <w:r w:rsidRPr="006419B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19B3">
        <w:rPr>
          <w:rFonts w:ascii="Times New Roman" w:hAnsi="Times New Roman" w:cs="Times New Roman"/>
          <w:color w:val="000000"/>
          <w:sz w:val="24"/>
          <w:szCs w:val="24"/>
        </w:rPr>
        <w:t>. Dz. U.20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1129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Oferta powinna zostać podpisana przez osobę (osoby) uprawnioną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/e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oryginalnej formie pi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semnej przed podpisaniem umowy.</w:t>
      </w:r>
    </w:p>
    <w:p w:rsidR="00155FC9" w:rsidRDefault="00155FC9" w:rsidP="00155FC9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9" w:rsidRDefault="00155FC9" w:rsidP="00155FC9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9" w:rsidRDefault="00155FC9" w:rsidP="00155FC9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039A" w:rsidRPr="00D14AB4" w:rsidRDefault="00FD039A" w:rsidP="00155FC9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VIII. MIEJSCE I TERMIN SKŁADANIA OFERT 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</w:t>
      </w:r>
      <w:hyperlink r:id="rId10" w:history="1">
        <w:r w:rsidR="00155FC9" w:rsidRPr="00630410">
          <w:rPr>
            <w:rStyle w:val="Hipercze"/>
            <w:rFonts w:ascii="Times New Roman" w:hAnsi="Times New Roman" w:cs="Times New Roman"/>
            <w:sz w:val="24"/>
            <w:szCs w:val="24"/>
          </w:rPr>
          <w:t>michal.chojnacki@sejmik.kielce.pl</w:t>
        </w:r>
      </w:hyperlink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wpisując w tytule: „Oferta – 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 xml:space="preserve">przeprowadzenie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szkole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” lub </w:t>
      </w:r>
      <w:r w:rsidRPr="00A423F1">
        <w:rPr>
          <w:rFonts w:ascii="Times New Roman" w:hAnsi="Times New Roman" w:cs="Times New Roman"/>
          <w:sz w:val="24"/>
          <w:szCs w:val="24"/>
        </w:rPr>
        <w:t xml:space="preserve">za pośrednictwem elektronicznej skrzynki podawczej Urzędu Marszałkowskiego Województwa Świętokrzyskiego w Kielcach na platformie </w:t>
      </w:r>
      <w:proofErr w:type="spellStart"/>
      <w:r w:rsidRPr="00A423F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423F1">
        <w:rPr>
          <w:rFonts w:ascii="Times New Roman" w:hAnsi="Times New Roman" w:cs="Times New Roman"/>
          <w:sz w:val="24"/>
          <w:szCs w:val="24"/>
        </w:rPr>
        <w:t xml:space="preserve">: </w:t>
      </w:r>
      <w:r w:rsidRPr="00A423F1">
        <w:rPr>
          <w:rFonts w:ascii="Times New Roman" w:hAnsi="Times New Roman" w:cs="Times New Roman"/>
          <w:b/>
          <w:bCs/>
          <w:sz w:val="24"/>
          <w:szCs w:val="24"/>
        </w:rPr>
        <w:t>/3h680wewfh/skrytka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17425E">
        <w:rPr>
          <w:rFonts w:ascii="Times New Roman" w:hAnsi="Times New Roman" w:cs="Times New Roman"/>
          <w:sz w:val="24"/>
          <w:szCs w:val="24"/>
        </w:rPr>
        <w:t>2</w:t>
      </w:r>
      <w:r w:rsidR="0065360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423F1">
        <w:rPr>
          <w:rFonts w:ascii="Times New Roman" w:hAnsi="Times New Roman" w:cs="Times New Roman"/>
          <w:bCs/>
          <w:sz w:val="24"/>
          <w:szCs w:val="24"/>
        </w:rPr>
        <w:t>.</w:t>
      </w:r>
      <w:r w:rsidR="00D16EAA">
        <w:rPr>
          <w:rFonts w:ascii="Times New Roman" w:hAnsi="Times New Roman" w:cs="Times New Roman"/>
          <w:bCs/>
          <w:sz w:val="24"/>
          <w:szCs w:val="24"/>
        </w:rPr>
        <w:t>10</w:t>
      </w:r>
      <w:r w:rsidRPr="00A423F1">
        <w:rPr>
          <w:rFonts w:ascii="Times New Roman" w:hAnsi="Times New Roman" w:cs="Times New Roman"/>
          <w:bCs/>
          <w:sz w:val="24"/>
          <w:szCs w:val="24"/>
        </w:rPr>
        <w:t>.2021 r. do godziny 1</w:t>
      </w:r>
      <w:r w:rsidR="0017425E">
        <w:rPr>
          <w:rFonts w:ascii="Times New Roman" w:hAnsi="Times New Roman" w:cs="Times New Roman"/>
          <w:bCs/>
          <w:sz w:val="24"/>
          <w:szCs w:val="24"/>
        </w:rPr>
        <w:t>2</w:t>
      </w:r>
      <w:r w:rsidRPr="00A423F1">
        <w:rPr>
          <w:rFonts w:ascii="Times New Roman" w:hAnsi="Times New Roman" w:cs="Times New Roman"/>
          <w:bCs/>
          <w:sz w:val="24"/>
          <w:szCs w:val="24"/>
        </w:rPr>
        <w:t>:00.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Kryteriami, którymi zamawiający będzie się kierował przy wyborze oferty najkorzystniejszej są: cena oferty brutto, doświadczenie kadry dydaktycznej oraz aspekt społeczny.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kryteriów przedstawia poniższa tabela:.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8"/>
        <w:gridCol w:w="3046"/>
      </w:tblGrid>
      <w:tr w:rsidR="00545DA5" w:rsidRPr="00545DA5" w:rsidTr="006B4726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</w:tr>
      <w:tr w:rsidR="00545DA5" w:rsidRPr="00545DA5" w:rsidTr="006B4726">
        <w:trPr>
          <w:trHeight w:val="510"/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 oferty (C)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545DA5" w:rsidRPr="00545DA5" w:rsidTr="006B4726">
        <w:trPr>
          <w:trHeight w:val="510"/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Trenera/Wykładowcy, w przeprowadzaniu szkoleń (D)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545DA5" w:rsidRPr="00545DA5" w:rsidTr="006B4726">
        <w:trPr>
          <w:trHeight w:val="510"/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Aspekt społeczny 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</w:tbl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= 1 punkt 20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ilość punktów w ramach kryterium oceny jest równa określonej wadze kryterium w %. Punkty będą przyznawane poszczególnym ofertom wg zasad określonych w </w:t>
      </w:r>
      <w:r w:rsidR="0065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pkt. 3.</w:t>
      </w:r>
    </w:p>
    <w:p w:rsidR="00655C84" w:rsidRDefault="00655C84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5C84" w:rsidRDefault="00655C84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5C84" w:rsidRDefault="00655C84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5C84" w:rsidRPr="00545DA5" w:rsidRDefault="00655C84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Default="00545DA5" w:rsidP="00545DA5">
      <w:pPr>
        <w:numPr>
          <w:ilvl w:val="0"/>
          <w:numId w:val="24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>Opis sposobu dokonywania oceny kryterium :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Kryterium „Cena brutto oferty” (A) - waga 60%, liczone wg wzoru: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Najniższa cena brutto spośród badanych ofert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A = --------------------------------------------------------------------- x 60 punktów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 Cena brutto badanej oferty </w:t>
      </w:r>
    </w:p>
    <w:p w:rsid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liczba punktów jaką Wykonawca może uzyskać w niniejszym kryterium wynosi 60.</w:t>
      </w:r>
    </w:p>
    <w:p w:rsidR="00155FC9" w:rsidRPr="00545DA5" w:rsidRDefault="00155FC9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Kryterium „Doświadczenie trenera, w przeprowadzaniu szkoleń” (D).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Punkty w niniejszym kryterium zostaną przyznane za doświadczenie trenera w przeprowadzeniu szkoleń w zakresie polityki i integracji społecznej 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wykonanych w okresie ostatnich trzech lat przed upływem terminu składania ofert.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każde szkolenie ponad wymagane minimum w SWZ dla trenera Wykonawca otrzyma: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1 szkolenie - 10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2 szkolenia – 20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3 szkolenia – 30 punktów,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Maksymalna liczba punktów jaką Wykonawca może uzyskać w niniejszym kryterium wynosi 30. </w:t>
      </w:r>
    </w:p>
    <w:p w:rsidR="00155FC9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 zobowiązany jest do złożenia wykazu osób wraz z ofertą. </w:t>
      </w:r>
    </w:p>
    <w:p w:rsidR="00155FC9" w:rsidRPr="00545DA5" w:rsidRDefault="00155FC9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3) Kryterium „Aspekt społeczny” (C) - waga 10%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który zobowiązuje się przy realizacji przedmiotu umowy zatrudnić lub zatrudnia jedną osobę z niepełnosprawnością, co oznacza osobę spełniającą przesłanki statusu niepełnosprawności określone ustawą z dnia 27 sierpnia 1997 r. o rehabilitacji zawodowej i społecznej oraz zatrudnieniu osób niepełnosprawnych (Dz.U z 2018r. poz.511 z późn.zm.) otrzyma w niniejszym kryterium 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 punktów</w:t>
      </w: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45DA5" w:rsidRDefault="00545DA5" w:rsidP="00655C84">
      <w:pPr>
        <w:pStyle w:val="Default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545DA5">
        <w:rPr>
          <w:rFonts w:ascii="Times New Roman" w:eastAsia="Calibri" w:hAnsi="Times New Roman" w:cs="Times New Roman"/>
          <w:color w:val="auto"/>
        </w:rPr>
        <w:t>Maksymalna liczba punktów jaką Wykonawca może uzyskać w niniejszym kryterium wynosi 10.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Podstawą do uregulowania płatności za wykonaną usługę będzie Protokół zdawczo - odbiorczy podpisany bez zastrzeżeń przez strony umowy.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>(od daty doręczenia).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7A7C42" w:rsidRPr="00D14AB4" w:rsidRDefault="007A7C42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nie można wybrać najkorzystniejszej oferty z uwagi na to, że dwie lub więcej ofert przedstawia taki sam bilans ceny i innych kryteriów oceny ofert, Zamawiający spośród tych ofert wybiera ofertę z najniższą ceną, a jeśli zostały złożone oferty o takiej samej cenie, Zamawiający wzywa Wykonawców, którzy złożyli te oferty, do złożenia </w:t>
      </w:r>
      <w:r w:rsidR="00655C84">
        <w:rPr>
          <w:rFonts w:ascii="Times New Roman" w:hAnsi="Times New Roman" w:cs="Times New Roman"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terminie określonym przez </w:t>
      </w:r>
      <w:r w:rsidR="00B2006C">
        <w:rPr>
          <w:rFonts w:ascii="Times New Roman" w:hAnsi="Times New Roman" w:cs="Times New Roman"/>
          <w:color w:val="000000"/>
          <w:sz w:val="24"/>
          <w:szCs w:val="24"/>
        </w:rPr>
        <w:t>Zamawiającego ofert dodatkowych.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 xml:space="preserve">Zamawiający zastrzega możliwość odwołania Postępowania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: 41/342-15-30 fax: 41/344-52-65, mail: </w:t>
      </w:r>
      <w:hyperlink r:id="rId11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Kontakt z Inspektorem Ochrony Danych al. IX Wieków Kielc 3,  25-516,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2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przetwarzane będą na podstawie art. 6 ust. 1 lit. c RODO w celu związanym z przedmiotowym postępowaniem o udzielenie zamówienia publicznego;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1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W przypadku pytań związanych z zapytaniem ofertowym należy kontaktować się drogą mailową lub telefonicznie z Panią </w:t>
      </w:r>
      <w:r w:rsidR="008674E6">
        <w:rPr>
          <w:rFonts w:ascii="Times New Roman" w:hAnsi="Times New Roman" w:cs="Times New Roman"/>
          <w:color w:val="000000"/>
          <w:sz w:val="24"/>
          <w:szCs w:val="24"/>
        </w:rPr>
        <w:t>Izabelą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4E6">
        <w:rPr>
          <w:rFonts w:ascii="Times New Roman" w:hAnsi="Times New Roman" w:cs="Times New Roman"/>
          <w:color w:val="000000"/>
          <w:sz w:val="24"/>
          <w:szCs w:val="24"/>
        </w:rPr>
        <w:t>Korda</w:t>
      </w:r>
      <w:r w:rsidR="00A13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342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9-0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13" w:history="1">
        <w:r w:rsidR="00655C84" w:rsidRPr="0063041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izabela.korda@sejmik.kielce.pl</w:t>
        </w:r>
      </w:hyperlink>
      <w:r w:rsidR="00655C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</w:p>
    <w:p w:rsidR="00B2006C" w:rsidRDefault="00B2006C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Wykaz osób</w:t>
      </w:r>
    </w:p>
    <w:p w:rsidR="00B2006C" w:rsidRPr="00D14AB4" w:rsidRDefault="00B2006C" w:rsidP="00B2006C">
      <w:pPr>
        <w:pStyle w:val="Akapitzlist"/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53249A">
      <w:headerReference w:type="default" r:id="rId14"/>
      <w:footerReference w:type="default" r:id="rId15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57" w:rsidRDefault="00AC4F57" w:rsidP="0053249A">
      <w:pPr>
        <w:spacing w:after="0" w:line="240" w:lineRule="auto"/>
      </w:pPr>
      <w:r>
        <w:separator/>
      </w:r>
    </w:p>
  </w:endnote>
  <w:endnote w:type="continuationSeparator" w:id="0">
    <w:p w:rsidR="00AC4F57" w:rsidRDefault="00AC4F57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-406054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65360B">
          <w:rPr>
            <w:noProof/>
          </w:rPr>
          <w:t>7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57" w:rsidRDefault="00AC4F57" w:rsidP="0053249A">
      <w:pPr>
        <w:spacing w:after="0" w:line="240" w:lineRule="auto"/>
      </w:pPr>
      <w:r>
        <w:separator/>
      </w:r>
    </w:p>
  </w:footnote>
  <w:footnote w:type="continuationSeparator" w:id="0">
    <w:p w:rsidR="00AC4F57" w:rsidRDefault="00AC4F57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55FC9"/>
    <w:rsid w:val="0017425E"/>
    <w:rsid w:val="00176734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14C4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5360B"/>
    <w:rsid w:val="00655C84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6F5F45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D33"/>
    <w:rsid w:val="007A67A6"/>
    <w:rsid w:val="007A7C42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65441"/>
    <w:rsid w:val="00A70CC3"/>
    <w:rsid w:val="00A77E86"/>
    <w:rsid w:val="00A80D59"/>
    <w:rsid w:val="00A82FB7"/>
    <w:rsid w:val="00A91A1D"/>
    <w:rsid w:val="00AB3836"/>
    <w:rsid w:val="00AC1DCF"/>
    <w:rsid w:val="00AC4F57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039A"/>
    <w:rsid w:val="00FD2134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.korda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chal.chojnacki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2CE5-4CCB-4938-AAE4-24AFAE85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Chojnacki, Michał</dc:creator>
  <cp:lastModifiedBy>Chojnacki, Michał</cp:lastModifiedBy>
  <cp:revision>9</cp:revision>
  <cp:lastPrinted>2021-10-20T11:45:00Z</cp:lastPrinted>
  <dcterms:created xsi:type="dcterms:W3CDTF">2021-10-20T11:44:00Z</dcterms:created>
  <dcterms:modified xsi:type="dcterms:W3CDTF">2021-10-21T13:06:00Z</dcterms:modified>
</cp:coreProperties>
</file>