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0B" w:rsidRPr="00DC240B" w:rsidRDefault="00DC240B" w:rsidP="00DC240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Z KONTROLI</w:t>
      </w:r>
    </w:p>
    <w:p w:rsidR="00DC240B" w:rsidRPr="00DC240B" w:rsidRDefault="00DC240B" w:rsidP="00DC240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Świętokrzyskie Centrum Doskonalenia Nauczycieli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Marszałka J. Piłsudskiego 42 25-431 Kielce, zwanego dalej ŚCDN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Dyrektorem jednostki jest od dnia 1 sierpnia 2007 r. Pan Jacek Wołowiec. 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Poprzednio stanowisko dyrektora od dnia 11 czerwca 2001 r. do 31 lipca 2007 r.</w:t>
      </w:r>
      <w:r w:rsidRPr="00DC24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zajmował Pan Stanisław Raczkowski.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księgowym Świętokrzyskiego Centrum Doskonalenia Nauczycieli w Kielcach jest od dnia 1 grudnia 2012 r. Pani Beata Mazur.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przeprowadzili pracownicy Departamentu Edukacji, Sportu i Turystyki Urzędu Marszałkowskiego Województwa Świętokrzyskiego, na podstawie upoważnienia Marszałka Województwa Świętokrzyskiego nr 18 z dnia 10 maja 2021 r., tj.:</w:t>
      </w:r>
    </w:p>
    <w:p w:rsidR="00DC240B" w:rsidRPr="00DC240B" w:rsidRDefault="00DC240B" w:rsidP="00DC240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Henryk Salwa - główny specjalista,</w:t>
      </w:r>
    </w:p>
    <w:p w:rsidR="00DC240B" w:rsidRPr="00DC240B" w:rsidRDefault="00DC240B" w:rsidP="00DC240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Harabin - inspektor.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w dniach od 12.05.2020 r. do 30.06.2021 r. w zakresie prawidłowości danych wykazanych w Systemie Informacji Oświatowej na dzień 30.09.2018 r. oraz prawidłowości danych w zakresie liczy etatów pracowników pedagogicznych oraz wysokości ich wynagrodzeń, przekazanych do sporządzenia sprawozdania z wysokości średnich wynagrodzeń nauczycieli za 2018 r.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kontroli ustalono, co następuje:</w:t>
      </w:r>
    </w:p>
    <w:p w:rsidR="00DC240B" w:rsidRPr="00DC240B" w:rsidRDefault="00DC240B" w:rsidP="00DC240B">
      <w:pPr>
        <w:numPr>
          <w:ilvl w:val="0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C240B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prawidłowość danych wykazanych w systemie informacji oświatowej na</w:t>
      </w:r>
      <w:r w:rsidRPr="00DC240B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  <w:r w:rsidRPr="00DC240B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dzień 30.09.201</w:t>
      </w:r>
      <w:r w:rsidRPr="00DC240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8 r.</w:t>
      </w:r>
    </w:p>
    <w:p w:rsidR="00DC240B" w:rsidRPr="00DC240B" w:rsidRDefault="00DC240B" w:rsidP="00DC240B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sz w:val="24"/>
          <w:szCs w:val="24"/>
          <w:lang w:eastAsia="x-none"/>
        </w:rPr>
        <w:t>Sposób, zakres i zasady gromadzenia i przekazywania danych w systemie informacji oświatowej regulują:</w:t>
      </w:r>
    </w:p>
    <w:p w:rsidR="00DC240B" w:rsidRPr="00DC240B" w:rsidRDefault="00DC240B" w:rsidP="00DC240B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15 kwietnia 2011 roku o systemie informacji oświatowej (Dz. U. z 2019 r. poz. 1942),</w:t>
      </w:r>
    </w:p>
    <w:p w:rsidR="00DC240B" w:rsidRPr="00DC240B" w:rsidRDefault="00DC240B" w:rsidP="00DC240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dnia 9 sierpnia 2012 roku </w:t>
      </w:r>
      <w:r w:rsidRPr="00DC240B">
        <w:rPr>
          <w:rFonts w:ascii="Times New Roman" w:eastAsia="Calibri" w:hAnsi="Times New Roman" w:cs="Times New Roman"/>
          <w:sz w:val="24"/>
          <w:szCs w:val="24"/>
          <w:lang w:eastAsia="pl-PL"/>
        </w:rPr>
        <w:t>w sprawie szczegółowego zakresu danych gromadzonych w bazach danych oświatowych, zakresu danych identyfikujących podmioty prowadzące bazy danych oświatowych, terminów przekazywania danych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24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między bazami danych oświatowych oraz </w:t>
      </w:r>
      <w:r w:rsidRPr="00DC240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wzorów wydruków zestawień zbiorczych 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DC2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2012 r. poz. 957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C240B" w:rsidRPr="00DC240B" w:rsidRDefault="00DC240B" w:rsidP="00DC24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43 ww. ustawy szkoły lub placówki przekazują dane dotyczące liczby uczniów i wychowanków oraz nauczycieli do zbioru danych oświatowych. Na podstawie informacji sporządzonych według stanu na dzień 30 września 2018 r. przekazanych przez Świętokrzyskie Centrum Doskonalenia Nauczycieli w Kielcach, jak również inne szkoły 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placówki podległe Województwu Świętokrzyskiemu, została naliczona część oświatowa subwencji ogólnej na rok 2018 dla Województwa Świętokrzyskiego. Na tej podstawie Ministerstwo Edukacji Narodowej opracowało dla Województwa Świętokrzyskiego metryczkę subwencji oświatowej, w której została określona kwota subwencji, wraz ze sposobem jej wyliczenia (d. nr 1).</w:t>
      </w:r>
    </w:p>
    <w:p w:rsidR="00DC240B" w:rsidRPr="00DC240B" w:rsidRDefault="00DC240B" w:rsidP="00DC24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wyliczenia kwoty subwencji wzięto pod uwagę m.in. liczbę nauczycieli w podziale na stopnie awansu zawodowego, zatrudnionych w Świętokrzyskim Centrum Doskonalenia Nauczycieli w Kielcach. </w:t>
      </w:r>
    </w:p>
    <w:p w:rsidR="00DC240B" w:rsidRPr="00DC240B" w:rsidRDefault="00DC240B" w:rsidP="00DC24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Podczas kontroli sprawdzono prawidłowość danych dotyczących liczby i wynagrodzeń nauczycieli Świętokrzyskiego Centrum Doskonalenia Nauczycieli w Kielcach. </w:t>
      </w:r>
    </w:p>
    <w:p w:rsidR="00DC240B" w:rsidRPr="00DC240B" w:rsidRDefault="00DC240B" w:rsidP="00DC24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Porównano dokumenty źródłowe, tj. </w:t>
      </w:r>
      <w:r w:rsidRPr="00DC24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Zestawienie zbiorcze z dnia 2.10.2018 roku – spis 30 września 2018, 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ujęte zostały etaty nauczycieli ŚCDN w podziale na poszczególne stopnie awansu zawodowego (d. nr 2), </w:t>
      </w:r>
      <w:r w:rsidRPr="00DC24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Średnioroczną strukturę zatrudnienia nauczycieli 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(d. nr 3) oraz  informacje zawarte w SIO (szczegółowy raport SIO dot. ŚCDN  w Kielcach (d. nr 4). Kontrolujący zwrócili uwagę na:</w:t>
      </w:r>
    </w:p>
    <w:p w:rsidR="00DC240B" w:rsidRPr="00DC240B" w:rsidRDefault="00DC240B" w:rsidP="00DC240B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40B">
        <w:rPr>
          <w:rFonts w:ascii="Times New Roman" w:eastAsia="Calibri" w:hAnsi="Times New Roman" w:cs="Times New Roman"/>
          <w:sz w:val="24"/>
          <w:szCs w:val="24"/>
        </w:rPr>
        <w:t xml:space="preserve">niewielką różnicę w wysokości etatów pomiędzy </w:t>
      </w:r>
      <w:r w:rsidRPr="00DC240B">
        <w:rPr>
          <w:rFonts w:ascii="Times New Roman" w:eastAsia="Calibri" w:hAnsi="Times New Roman" w:cs="Times New Roman"/>
          <w:i/>
          <w:sz w:val="24"/>
          <w:szCs w:val="24"/>
        </w:rPr>
        <w:t>Zestawieniem zbiorczym</w:t>
      </w:r>
      <w:r w:rsidRPr="00DC240B">
        <w:rPr>
          <w:rFonts w:ascii="Times New Roman" w:eastAsia="Calibri" w:hAnsi="Times New Roman" w:cs="Times New Roman"/>
          <w:sz w:val="24"/>
          <w:szCs w:val="24"/>
        </w:rPr>
        <w:t xml:space="preserve"> w SIO, a </w:t>
      </w:r>
      <w:r w:rsidRPr="00DC240B">
        <w:rPr>
          <w:rFonts w:ascii="Times New Roman" w:eastAsia="Calibri" w:hAnsi="Times New Roman" w:cs="Times New Roman"/>
          <w:i/>
          <w:sz w:val="24"/>
          <w:szCs w:val="24"/>
        </w:rPr>
        <w:t>Informacją o strukturze zatrudnienia</w:t>
      </w:r>
      <w:r w:rsidRPr="00DC240B">
        <w:rPr>
          <w:rFonts w:ascii="Times New Roman" w:eastAsia="Calibri" w:hAnsi="Times New Roman" w:cs="Times New Roman"/>
          <w:sz w:val="24"/>
          <w:szCs w:val="24"/>
        </w:rPr>
        <w:t>. Kontrolujący poprosili p. Jacka Wołowca, Dyrektora ŚCDN o wyjaśnienie</w:t>
      </w:r>
      <w:r w:rsidR="0066221A">
        <w:rPr>
          <w:rFonts w:ascii="Times New Roman" w:eastAsia="Calibri" w:hAnsi="Times New Roman" w:cs="Times New Roman"/>
          <w:sz w:val="24"/>
          <w:szCs w:val="24"/>
        </w:rPr>
        <w:t xml:space="preserve"> (d. nr 5)</w:t>
      </w:r>
      <w:r w:rsidRPr="00DC240B">
        <w:rPr>
          <w:rFonts w:ascii="Times New Roman" w:eastAsia="Calibri" w:hAnsi="Times New Roman" w:cs="Times New Roman"/>
          <w:sz w:val="24"/>
          <w:szCs w:val="24"/>
        </w:rPr>
        <w:t xml:space="preserve">.  Z uzyskanych pisemnie informacji wynika, że różnica spowodowana jest tym, że w </w:t>
      </w:r>
      <w:r w:rsidRPr="00DC240B">
        <w:rPr>
          <w:rFonts w:ascii="Times New Roman" w:eastAsia="Calibri" w:hAnsi="Times New Roman" w:cs="Times New Roman"/>
          <w:i/>
          <w:sz w:val="24"/>
          <w:szCs w:val="24"/>
        </w:rPr>
        <w:t>Informacji</w:t>
      </w:r>
      <w:r w:rsidRPr="00DC240B">
        <w:rPr>
          <w:rFonts w:ascii="Times New Roman" w:eastAsia="Calibri" w:hAnsi="Times New Roman" w:cs="Times New Roman"/>
          <w:sz w:val="24"/>
          <w:szCs w:val="24"/>
        </w:rPr>
        <w:t>… nie uwzględnia się etatów osób przebywających na długotrwałych zasiłkach chorobowych, tj. 0,5 etatu nauczyciele dyplomowani i 0,5 etatu nauczyciele mianowani.  Ponadto różnica  wynika z zaokrągleń stosowanych w sprawozdaniu SIO,</w:t>
      </w:r>
    </w:p>
    <w:p w:rsidR="00DC240B" w:rsidRPr="00DC240B" w:rsidRDefault="00DC240B" w:rsidP="00DC240B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40B">
        <w:rPr>
          <w:rFonts w:ascii="Times New Roman" w:eastAsia="Calibri" w:hAnsi="Times New Roman" w:cs="Times New Roman"/>
          <w:sz w:val="24"/>
          <w:szCs w:val="24"/>
        </w:rPr>
        <w:t>do starej wersji raportu SIO, która obowiązywała jeszcze w roku 2018 nie zostały wprowadzone następujące informacje dotyczące wynagrodzeń nauczycieli: nagroda jubileuszowa nauczyciela wypłacona w sierpniu oraz odprawy emerytalne trzech pracowników wypłaconych w sierpniu. Z przedstawionych dokumentów wynika, iż ww. informacje zostały wprowadzone w nowej wersji SIO, która w roku 2018 nie miała jeszcze statusu wersji obowiązującej, a była dopiero wersją testową (d. nr 6). Pozostałe dane zostały prawidłowo wprowadzone do Systemu Informacji Oświatowej. Brak ww. danych w SIO nie miało wpływu na wysokość subwencji naliczonej dla Województwa Świętokrzyskiego na 2019 rok.</w:t>
      </w:r>
    </w:p>
    <w:p w:rsidR="00DC240B" w:rsidRPr="00DC240B" w:rsidRDefault="00DC240B" w:rsidP="00DC240B">
      <w:pPr>
        <w:autoSpaceDE w:val="0"/>
        <w:autoSpaceDN w:val="0"/>
        <w:adjustRightInd w:val="0"/>
        <w:spacing w:before="120" w:after="12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40B" w:rsidRPr="00DC240B" w:rsidRDefault="00DC240B" w:rsidP="00DC240B">
      <w:pPr>
        <w:numPr>
          <w:ilvl w:val="0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C240B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 xml:space="preserve">prawidłowość danych w zakresie liczby etatów pracowników pedagogicznych oraz wysokości ich wynagrodzeń, przekazanych do sporządzenia sprawozdania </w:t>
      </w:r>
      <w:r w:rsidRPr="00DC240B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br/>
        <w:t>z wysokości średnich wynagrodzeń nauczycieli za 2018</w:t>
      </w:r>
      <w:r w:rsidRPr="00DC240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 xml:space="preserve"> r.</w:t>
      </w:r>
    </w:p>
    <w:p w:rsidR="00DC240B" w:rsidRPr="00DC240B" w:rsidRDefault="00DC240B" w:rsidP="00DC240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40B">
        <w:rPr>
          <w:rFonts w:ascii="Times New Roman" w:eastAsia="Calibri" w:hAnsi="Times New Roman" w:cs="Times New Roman"/>
          <w:sz w:val="24"/>
          <w:szCs w:val="24"/>
        </w:rPr>
        <w:t xml:space="preserve">Zasady sporządzania </w:t>
      </w:r>
      <w:r w:rsidRPr="00DC2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sprawozdania z wysokości średnich wynagrodzeń nauczycieli</w:t>
      </w:r>
      <w:r w:rsidRPr="00DC240B">
        <w:rPr>
          <w:rFonts w:ascii="Times New Roman" w:eastAsia="Calibri" w:hAnsi="Times New Roman" w:cs="Times New Roman"/>
          <w:sz w:val="24"/>
          <w:szCs w:val="24"/>
        </w:rPr>
        <w:t xml:space="preserve"> określone zostały w:</w:t>
      </w:r>
    </w:p>
    <w:p w:rsidR="00DC240B" w:rsidRPr="00DC240B" w:rsidRDefault="00DC240B" w:rsidP="00DC24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40B">
        <w:rPr>
          <w:rFonts w:ascii="Times New Roman" w:eastAsia="Calibri" w:hAnsi="Times New Roman" w:cs="Times New Roman"/>
          <w:sz w:val="24"/>
          <w:szCs w:val="24"/>
        </w:rPr>
        <w:t xml:space="preserve">art. 30a ustawy z dnia 26 stycznia 1982 r. – Karta Nauczyciela 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DC2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Dz.U. z 2019 r. poz. 2215, z </w:t>
      </w:r>
      <w:proofErr w:type="spellStart"/>
      <w:r w:rsidRPr="00DC2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DC2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C240B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DC240B" w:rsidRPr="00DC240B" w:rsidRDefault="00DC240B" w:rsidP="00DC24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40B">
        <w:rPr>
          <w:rFonts w:ascii="Times New Roman" w:eastAsia="Calibri" w:hAnsi="Times New Roman" w:cs="Times New Roman"/>
          <w:sz w:val="24"/>
          <w:szCs w:val="24"/>
        </w:rPr>
        <w:t xml:space="preserve">rozporządzeniu </w:t>
      </w:r>
      <w:r w:rsidRPr="00DC24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Ministra Edukacji Narodowej</w:t>
      </w:r>
      <w:r w:rsidRPr="00DC240B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 xml:space="preserve"> </w:t>
      </w:r>
      <w:r w:rsidRPr="00DC24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 dnia 13 stycznia 2010 r. w sprawie sposobu opracowywania sprawozdania z wysokości średnich wynagrodzeń nauczycieli na poszczególnych stopniach awansu zawodowego w szkołach prowadzonych przez jednostki samorządu terytorialnego (</w:t>
      </w:r>
      <w:r w:rsidRPr="00DC2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2019 r. poz. 2387</w:t>
      </w:r>
      <w:r w:rsidRPr="00DC24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C24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:rsidR="00DC240B" w:rsidRPr="00DC240B" w:rsidRDefault="00DC240B" w:rsidP="00DC2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Zgodnie z ww. ustawą w terminie do dnia 20 stycznia każdego roku organ prowadzący szkołę będący jednostką samorządu terytorialnego przeprowadza analizę poniesionych 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w poprzednim roku kalendarzowym wydatków na wynagrodzenia nauczycieli w odniesieniu do wysokości średnich wynagrodzeń oraz średniorocznej struktury zatrudnienia nauczycieli na poszczególnych stopniach awansu zawodowego. Analiza została dokonana w oparciu 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o dokumenty złożone przez szkoły i placówki oświatowe, tj. </w:t>
      </w:r>
      <w:r w:rsidRPr="00DC240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Informację o strukturze zatrudnienia oraz faktycznych wydatkach na wynagrodzenia nauczycieli do przeprowadzenia analizy, o której mowa w art. 30a ust. 1 ustawy Karta Nauczyciela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Dokument taki został złożony przez Świętokrzyskie Centrum Doskonalenia Nauczycieli w Kielcach 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w dniu </w:t>
      </w:r>
      <w:r w:rsidRPr="00DC24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 stycznia 2019 </w:t>
      </w:r>
      <w:r w:rsidR="006622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roku (d. nr 7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).</w:t>
      </w:r>
    </w:p>
    <w:p w:rsidR="00DC240B" w:rsidRPr="00DC240B" w:rsidRDefault="00DC240B" w:rsidP="00DC240B">
      <w:pPr>
        <w:spacing w:before="240" w:after="0" w:line="240" w:lineRule="auto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lastRenderedPageBreak/>
        <w:t>W myśl ww. rozporządzenia informacja przygotowana w ŚCDN w Kielcach, została przygotowana z zastosowaniem następujących reguł:</w:t>
      </w:r>
    </w:p>
    <w:p w:rsidR="00DC240B" w:rsidRPr="00DC240B" w:rsidRDefault="00DC240B" w:rsidP="00DC240B">
      <w:pPr>
        <w:numPr>
          <w:ilvl w:val="0"/>
          <w:numId w:val="3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Średnioroczną strukturę zatrudnienia nauczycieli ustalono na podstawie średniorocznej liczby etatów nauczycieli na poszczególnych stopniach awansu zawodowego, </w:t>
      </w: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br/>
        <w:t xml:space="preserve">z uwzględnieniem uzyskania przez nauczycieli kolejnych stopni awansu zawodowego </w:t>
      </w: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br/>
        <w:t>w danym roku, przy czym w przypadku gdy w danym roku obowiązuje więcej niż jedna kwota bazowa średnioroczną strukturę zatrudnienia nauczycieli ustala się odrębnie dla okresów obowiązywania poszczególnych kwot.</w:t>
      </w:r>
    </w:p>
    <w:p w:rsidR="00DC240B" w:rsidRPr="00DC240B" w:rsidRDefault="00DC240B" w:rsidP="00DC240B">
      <w:pPr>
        <w:numPr>
          <w:ilvl w:val="0"/>
          <w:numId w:val="3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t>Nauczycieli, którzy w danym roku uzyskali kolejny stopień awansu zawodowego, przy ustalaniu średniorocznej struktury zatrudnienia uwzględniono odpowiednio na stopniach awansu zawodowego proporcjonalnie do okresu pobierania wynagrodzenia na danym stopniu awansu zawodowego.</w:t>
      </w:r>
    </w:p>
    <w:p w:rsidR="00DC240B" w:rsidRPr="00DC240B" w:rsidRDefault="00DC240B" w:rsidP="00DC240B">
      <w:pPr>
        <w:numPr>
          <w:ilvl w:val="0"/>
          <w:numId w:val="3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Przez liczbę etatów nauczycieli rozumie się liczbę nauczycieli zatrudnionych w pełnym </w:t>
      </w: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br/>
        <w:t>i niepełnym wymiarze zajęć (po przeliczeniu na pełny wymiar zajęć).</w:t>
      </w:r>
    </w:p>
    <w:p w:rsidR="00DC240B" w:rsidRPr="00DC240B" w:rsidRDefault="00DC240B" w:rsidP="00DC240B">
      <w:pPr>
        <w:numPr>
          <w:ilvl w:val="0"/>
          <w:numId w:val="3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Przy ustalaniu średniorocznej struktury zatrudnienia, nauczyciela zatrudnionego </w:t>
      </w: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br/>
        <w:t>w pełnym wymiarze zajęć na podstawie jednej umowy o pracę lub aktu mianowania uwzględniono jako jeden etat. Przydzielonych nauczycielowi godzin ponad tygodniowy obowiązkowy wymiar godzin zajęć stanowiące godziny ponadwymiarowe, nie przeliczano na etaty.</w:t>
      </w:r>
    </w:p>
    <w:p w:rsidR="00DC240B" w:rsidRPr="00DC240B" w:rsidRDefault="00DC240B" w:rsidP="00DC240B">
      <w:pPr>
        <w:numPr>
          <w:ilvl w:val="0"/>
          <w:numId w:val="3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Przy ustalaniu średniorocznej struktury zatrudnienia nauczycieli uwzględniono liczbę etatów nauczycieli w okresach, w których wypłacono im wynagrodzenie ze środków ujętych w planie finansowym szkoły, zgodnie z wymiarem zatrudnienia określonym </w:t>
      </w: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br/>
        <w:t>w umowie o pracę lub w akcie mianowania.</w:t>
      </w:r>
    </w:p>
    <w:p w:rsidR="00DC240B" w:rsidRPr="00DC240B" w:rsidRDefault="00DC240B" w:rsidP="00DC240B">
      <w:pPr>
        <w:numPr>
          <w:ilvl w:val="0"/>
          <w:numId w:val="3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 nauczycieli nie uwzględniono liczby etatów nauczycieli, proporcjonalnie do okresów, w których pobierali zasiłek chorobowy, świadczenie rehabilitacyjne lub zasiłek opiekuńczy.</w:t>
      </w:r>
    </w:p>
    <w:p w:rsidR="00DC240B" w:rsidRPr="00DC240B" w:rsidRDefault="00DC240B" w:rsidP="00DC240B">
      <w:pPr>
        <w:numPr>
          <w:ilvl w:val="0"/>
          <w:numId w:val="3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 nauczycieli nie uwzględniono, proporcjonalnie do okresów, w których nie wypłacono wynagrodzenia ze środków ujętych w planie finansowym szkoły, liczby etatów nauczycieli w okresach nieobecności w pracy, za czas których nie przysługuje wynagrodzenie.</w:t>
      </w:r>
    </w:p>
    <w:p w:rsidR="00DC240B" w:rsidRPr="00DC240B" w:rsidRDefault="00DC240B" w:rsidP="00DC240B">
      <w:pPr>
        <w:numPr>
          <w:ilvl w:val="0"/>
          <w:numId w:val="3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DC240B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 nauczycieli nie uwzględniono osób niebędących nauczycielami, zatrudnionych w 2018 roku na podstawie art. 7 ust. 1a i 1d ustawy z dnia 7 września 1991 r. o systemie oświaty (</w:t>
      </w:r>
      <w:r w:rsidRPr="00DC2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Dz.U. t. j z 2019 r. poz. 1481</w:t>
      </w:r>
      <w:r w:rsidRPr="00DC2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Podczas kontroli przeanalizowano dokumenty źródłowe, na podstawie których została sporządzona 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Informacj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a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 xml:space="preserve"> o strukturze zatrudnienia oraz faktycznych wydatkach na wynagrodzenia nauczycieli do przeprowadzenia analizy, o której mowa w art. 30a ust. 1 ustawy Karta Nauczyciela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</w:t>
      </w:r>
      <w:r w:rsidRPr="00DC240B">
        <w:rPr>
          <w:rFonts w:ascii="Times New Roman" w:eastAsia="Calibri" w:hAnsi="Times New Roman" w:cs="Times New Roman"/>
          <w:sz w:val="24"/>
          <w:szCs w:val="24"/>
          <w:lang w:eastAsia="x-none"/>
        </w:rPr>
        <w:t>ŚCDN w Kielcach, tj.</w:t>
      </w:r>
    </w:p>
    <w:p w:rsidR="00AE2497" w:rsidRDefault="00AE2497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AE2497" w:rsidRPr="00DC240B" w:rsidRDefault="00AE2497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DC240B" w:rsidRPr="00DC240B" w:rsidRDefault="00DC240B" w:rsidP="00DC240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x-none"/>
        </w:rPr>
      </w:pPr>
      <w:r w:rsidRPr="00DC240B">
        <w:rPr>
          <w:rFonts w:ascii="Times New Roman" w:eastAsia="Calibri" w:hAnsi="Times New Roman" w:cs="Times New Roman"/>
          <w:b/>
          <w:sz w:val="24"/>
          <w:szCs w:val="20"/>
          <w:lang w:eastAsia="x-none"/>
        </w:rPr>
        <w:lastRenderedPageBreak/>
        <w:t xml:space="preserve">Zestawienie etatów nauczycieli za 2018 rok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3364"/>
        <w:gridCol w:w="4082"/>
        <w:gridCol w:w="29"/>
      </w:tblGrid>
      <w:tr w:rsidR="00DC240B" w:rsidRPr="00DC240B" w:rsidTr="00221295">
        <w:trPr>
          <w:gridAfter w:val="1"/>
          <w:wAfter w:w="29" w:type="dxa"/>
        </w:trPr>
        <w:tc>
          <w:tcPr>
            <w:tcW w:w="1876" w:type="dxa"/>
            <w:vMerge w:val="restart"/>
            <w:shd w:val="clear" w:color="auto" w:fill="auto"/>
            <w:vAlign w:val="center"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Miesiąc</w:t>
            </w:r>
          </w:p>
        </w:tc>
        <w:tc>
          <w:tcPr>
            <w:tcW w:w="7446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etatów nauczycieli w roku 2018</w:t>
            </w:r>
          </w:p>
        </w:tc>
      </w:tr>
      <w:tr w:rsidR="00DC240B" w:rsidRPr="00DC240B" w:rsidTr="00221295">
        <w:trPr>
          <w:gridAfter w:val="1"/>
          <w:wAfter w:w="29" w:type="dxa"/>
        </w:trPr>
        <w:tc>
          <w:tcPr>
            <w:tcW w:w="1876" w:type="dxa"/>
            <w:vMerge/>
            <w:shd w:val="clear" w:color="auto" w:fill="auto"/>
            <w:vAlign w:val="center"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46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Stopień awansu zawodowego</w:t>
            </w:r>
          </w:p>
        </w:tc>
      </w:tr>
      <w:tr w:rsidR="00DC240B" w:rsidRPr="00DC240B" w:rsidTr="00221295">
        <w:tc>
          <w:tcPr>
            <w:tcW w:w="1876" w:type="dxa"/>
            <w:vMerge/>
            <w:shd w:val="clear" w:color="auto" w:fill="auto"/>
            <w:vAlign w:val="center"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64" w:type="dxa"/>
            <w:shd w:val="clear" w:color="auto" w:fill="D9D9D9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mianowany</w:t>
            </w:r>
          </w:p>
        </w:tc>
        <w:tc>
          <w:tcPr>
            <w:tcW w:w="4111" w:type="dxa"/>
            <w:gridSpan w:val="2"/>
            <w:shd w:val="clear" w:color="auto" w:fill="D9D9D9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dyplomowany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styczeń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4,25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23,47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luty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4,25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23,47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marzec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4,25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24,47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kwiecień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4,25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24,47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maj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4,25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22,47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czerwiec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3,75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22,47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lipiec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3,75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22,07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sierpień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3,75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23,90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wrzesień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3,75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23,10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październik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3,75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23,46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listopad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4,25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23,46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grudzień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4,25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23,86</w:t>
            </w:r>
          </w:p>
        </w:tc>
      </w:tr>
      <w:tr w:rsidR="00DC240B" w:rsidRPr="00DC240B" w:rsidTr="00221295">
        <w:tc>
          <w:tcPr>
            <w:tcW w:w="1876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Średnioroczna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4,04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C240B" w:rsidRPr="00DC240B" w:rsidRDefault="00DC240B" w:rsidP="00DC240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23,39</w:t>
            </w:r>
          </w:p>
        </w:tc>
      </w:tr>
    </w:tbl>
    <w:p w:rsidR="00DC240B" w:rsidRPr="00DC240B" w:rsidRDefault="00DC240B" w:rsidP="00DC240B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  <w:lang w:eastAsia="x-none"/>
        </w:rPr>
      </w:pPr>
    </w:p>
    <w:p w:rsidR="00DC240B" w:rsidRPr="00AE2497" w:rsidRDefault="00DC240B" w:rsidP="00AE2497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x-none"/>
        </w:rPr>
      </w:pPr>
      <w:r w:rsidRPr="00DC240B">
        <w:rPr>
          <w:rFonts w:ascii="Times New Roman" w:eastAsia="Calibri" w:hAnsi="Times New Roman" w:cs="Times New Roman"/>
          <w:b/>
          <w:sz w:val="24"/>
          <w:szCs w:val="20"/>
          <w:lang w:eastAsia="x-none"/>
        </w:rPr>
        <w:t>Listy płac zbiorczo (wg stopnia awansu) od stycznia do grudnia 2018 roku</w:t>
      </w:r>
      <w:r w:rsidR="003E7361">
        <w:rPr>
          <w:rFonts w:ascii="Times New Roman" w:eastAsia="Calibri" w:hAnsi="Times New Roman" w:cs="Times New Roman"/>
          <w:b/>
          <w:sz w:val="24"/>
          <w:szCs w:val="20"/>
          <w:lang w:eastAsia="x-none"/>
        </w:rPr>
        <w:t xml:space="preserve"> (dokument źródłowy d. nr 8)</w:t>
      </w:r>
      <w:bookmarkStart w:id="0" w:name="_GoBack"/>
      <w:bookmarkEnd w:id="0"/>
    </w:p>
    <w:tbl>
      <w:tblPr>
        <w:tblW w:w="1027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417"/>
        <w:gridCol w:w="1418"/>
        <w:gridCol w:w="1276"/>
        <w:gridCol w:w="1417"/>
        <w:gridCol w:w="1134"/>
        <w:gridCol w:w="1418"/>
        <w:gridCol w:w="1264"/>
        <w:gridCol w:w="11"/>
      </w:tblGrid>
      <w:tr w:rsidR="00DC240B" w:rsidRPr="00DC240B" w:rsidTr="00221295">
        <w:trPr>
          <w:gridAfter w:val="1"/>
          <w:wAfter w:w="11" w:type="dxa"/>
          <w:trHeight w:val="300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miesiąc</w:t>
            </w:r>
          </w:p>
        </w:tc>
        <w:tc>
          <w:tcPr>
            <w:tcW w:w="93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0B" w:rsidRPr="00DC240B" w:rsidRDefault="00DC240B" w:rsidP="00DC2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Nauczyciele mianowani</w:t>
            </w:r>
          </w:p>
        </w:tc>
      </w:tr>
      <w:tr w:rsidR="00DC240B" w:rsidRPr="00DC240B" w:rsidTr="00221295">
        <w:trPr>
          <w:cantSplit/>
          <w:trHeight w:val="1134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 p.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Wynagr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zasadnicze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Dodatek staż.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. </w:t>
            </w: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wynagr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roczne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Dodatek motyw.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Nagroda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Dodaek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funkc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(n-l konsultant)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Nagroda jubileuszowa</w:t>
            </w: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styczeń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11394,25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1561,68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13131,95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1119,32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2512,50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luty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11394,25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1561,68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1119,32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2512,50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5 135,63</w:t>
            </w: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marzec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11394,25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1561,68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1119,32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2512,50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kwiecień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12002,00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1644,98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1179,02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2512,50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maj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12002,00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1644,98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1179,02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2512,50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czerwiec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1362,58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2337,50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lipiec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1362,58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2337,50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sierpień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1362,58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2337,50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wrzesień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967,22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2337,50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paźdz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967,22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1051,94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2337,50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listopad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12002,00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1249,62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1461,42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2662,50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grudzień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12002,00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1249,62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1461,42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2662,50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C240B" w:rsidRPr="00DC240B" w:rsidTr="0022129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135 140,75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16 496,42*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13131,95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13 898,54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lang w:eastAsia="pl-PL"/>
              </w:rPr>
              <w:t>29 575,00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lang w:eastAsia="pl-PL"/>
              </w:rPr>
              <w:t>5 135,63</w:t>
            </w:r>
          </w:p>
        </w:tc>
      </w:tr>
    </w:tbl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x-none"/>
        </w:rPr>
      </w:pPr>
      <w:r w:rsidRPr="00DC240B">
        <w:rPr>
          <w:rFonts w:ascii="Times New Roman" w:eastAsia="Calibri" w:hAnsi="Times New Roman" w:cs="Times New Roman"/>
          <w:sz w:val="18"/>
          <w:szCs w:val="18"/>
          <w:lang w:eastAsia="x-none"/>
        </w:rPr>
        <w:t xml:space="preserve">*Kwota sumy dodatków stażowych nauczycieli podana w </w:t>
      </w:r>
      <w:r w:rsidRPr="00DC240B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Informacji o strukturze zatrudnienia oraz faktycznych wydatkach na wynagrodzenia nauczycieli do przeprowadzenia analizy, o której mowa w art. 30a ust 1 ustawy Karta Nauczyciela</w:t>
      </w:r>
      <w:r w:rsidRPr="00DC240B">
        <w:rPr>
          <w:rFonts w:ascii="Times New Roman" w:eastAsia="Calibri" w:hAnsi="Times New Roman" w:cs="Times New Roman"/>
          <w:sz w:val="18"/>
          <w:szCs w:val="18"/>
          <w:lang w:eastAsia="x-none"/>
        </w:rPr>
        <w:t xml:space="preserve"> złożonej w dniu 8.01.2019 r wynosi 16 514,42. Z pisemnych wyjaśnień  podanych przez Dyrektora ŚCDN w Kielcach, p. Jacka Wołowca wynika, iż różnica w kwocie wynika z pomyłki w podliczaniu tabel wynagrodzeń brutto w momencie przekazywania danych do </w:t>
      </w:r>
      <w:r w:rsidRPr="00DC240B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Informacji o strukturze…</w:t>
      </w:r>
    </w:p>
    <w:tbl>
      <w:tblPr>
        <w:tblW w:w="1041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00"/>
        <w:gridCol w:w="1134"/>
        <w:gridCol w:w="1134"/>
        <w:gridCol w:w="709"/>
        <w:gridCol w:w="1134"/>
        <w:gridCol w:w="1134"/>
        <w:gridCol w:w="992"/>
        <w:gridCol w:w="709"/>
      </w:tblGrid>
      <w:tr w:rsidR="00DC240B" w:rsidRPr="00DC240B" w:rsidTr="0022129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Miesiąc</w:t>
            </w:r>
          </w:p>
        </w:tc>
        <w:tc>
          <w:tcPr>
            <w:tcW w:w="9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Nauczyciele dyplomowani</w:t>
            </w:r>
          </w:p>
        </w:tc>
      </w:tr>
      <w:tr w:rsidR="00DC240B" w:rsidRPr="00DC240B" w:rsidTr="00221295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 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Wynagr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zasadnicze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Dodatek staż.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. </w:t>
            </w: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wynagr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roczne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Dodatek motyw.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Nagroda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Dodatek n-l konsultant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40B" w:rsidRPr="00DC240B" w:rsidRDefault="00DC240B" w:rsidP="00DC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Nagroda jubileusz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Odprawaemerytalna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Dodatek </w:t>
            </w: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funkcyj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. </w:t>
            </w:r>
            <w:proofErr w:type="spellStart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dyr</w:t>
            </w:r>
            <w:proofErr w:type="spellEnd"/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/kier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styczeń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73926,53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13981,56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116066,32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14797,30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15121,57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3900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luty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73926,53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13981,56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14797,30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15121,60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3900</w:t>
            </w:r>
          </w:p>
        </w:tc>
      </w:tr>
      <w:tr w:rsidR="00DC240B" w:rsidRPr="00DC240B" w:rsidTr="00221295">
        <w:trPr>
          <w:trHeight w:val="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marzec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77075,53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14611,36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16686,70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15871,57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5900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kwiecień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82293,20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15357,71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17576,94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16069,57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5900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74553,53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14097,25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15487,23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14471,57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3900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czerwiec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74553,53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14097,25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15487,23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14471,57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3900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73226,73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13831,89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15321,38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14216,57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 xml:space="preserve">17441,20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3900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79307,90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14826,99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17510,60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15539,57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16268,00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54079,5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5900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76670,08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13860,32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16035,33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14689,57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5800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77854,72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14225,19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16149,05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5012,10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5800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77854,72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14258,36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16585,47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 xml:space="preserve">   3579,08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5800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79181,52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14556,89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16862,60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15422,94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5800</w:t>
            </w:r>
          </w:p>
        </w:tc>
      </w:tr>
      <w:tr w:rsidR="00DC240B" w:rsidRPr="00DC240B" w:rsidTr="0022129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0B" w:rsidRPr="00DC240B" w:rsidRDefault="00DC240B" w:rsidP="00DC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920 423,62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171686,33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116066,32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193297,13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45200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180682,07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42300,38*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lang w:eastAsia="pl-PL"/>
              </w:rPr>
              <w:t>54079,5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40B" w:rsidRPr="00DC240B" w:rsidRDefault="00DC240B" w:rsidP="00DC2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24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60400</w:t>
            </w:r>
          </w:p>
        </w:tc>
      </w:tr>
    </w:tbl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x-none"/>
        </w:rPr>
      </w:pPr>
      <w:r w:rsidRPr="00DC240B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*Kwota sumy nagród jubileuszowych podana w </w:t>
      </w:r>
      <w:r w:rsidRPr="00DC240B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Informacji o strukturze zatrudnienia oraz faktycznych wydatkach na wynagrodzenia nauczycieli do przeprowadzenia analizy, o której mowa w art. 30a ust 1 ustawy Karta Nauczyciela</w:t>
      </w:r>
      <w:r w:rsidRPr="00DC240B">
        <w:rPr>
          <w:rFonts w:ascii="Times New Roman" w:eastAsia="Calibri" w:hAnsi="Times New Roman" w:cs="Times New Roman"/>
          <w:sz w:val="18"/>
          <w:szCs w:val="18"/>
          <w:lang w:eastAsia="x-none"/>
        </w:rPr>
        <w:t xml:space="preserve"> złożonej w dniu 8.01.2019 r. wynosi 42 430,62. Z pisemnych wyjaśnień  podanych przez Dyrektora ŚCDN w Kielcach, p. Jacka Wołowca wynika, iż różnica w kwocie wynika z pomyłki w podliczaniu kwot w momencie przekazywania danych do </w:t>
      </w:r>
      <w:r w:rsidRPr="00DC240B">
        <w:rPr>
          <w:rFonts w:ascii="Times New Roman" w:eastAsia="Calibri" w:hAnsi="Times New Roman" w:cs="Times New Roman"/>
          <w:i/>
          <w:sz w:val="18"/>
          <w:szCs w:val="18"/>
          <w:lang w:eastAsia="x-none"/>
        </w:rPr>
        <w:t>Informacji o strukturze…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Z analizy i porównania dokumentów źródłowych i danych zawartych w 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Informacj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i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br/>
        <w:t>o strukturze zatrudnienia oraz faktycznych wydatkach na wynagrodzenia nauczycieli do przeprowadzenia analizy, o której mowa w art. 30a ust. 1 ustawy Karta Nauczyciela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 </w:t>
      </w:r>
      <w:r w:rsidRPr="00DC240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wynika, że Świętokrzyskie Centrum Doskonalenia Nauczycieli w Kielcach prawidłowo i zgodnie ze stanem faktycznym podało dane, na podstawie których zostało sporządzone 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sprawozdani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e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 z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 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wysokości średnich wynagrodzeń nauczycieli za 201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8 r. przez Województwo Świętokrzyskie. </w:t>
      </w:r>
    </w:p>
    <w:p w:rsidR="00DC240B" w:rsidRPr="00DC240B" w:rsidRDefault="00DC240B" w:rsidP="00DC240B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W związku z niewielkimi uchybieniami dot. wprowadzania danych do SIO oraz wprowadzania danych do </w:t>
      </w:r>
      <w:r w:rsidRPr="00DC240B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Informacji o strukturze zatrudnienia oraz faktycznych wydatkach na wynagrodzenia nauczycieli do przeprowadzenia analizy, o której mowa w art. 30a ust 1 ustawy Karta Nauczyciela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zobowiązuje się Dyrektora ŚCDN do większej staranności w tym zakresie.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W wyniku przeprowadzonej kontroli nie stwierdzono nieprawidłowości. Kontrolujący poinformowali Dyrektora Świętokrzyskiego Centrum Doskonalenia Nauczycieli  w Kielcach, Pana Jacka Wołowca, o przysługujących mu uprawnieniach przekazania osobie przeprowadzającej kontrolę, w terminie 5 dni roboczych od dnia otrzymania protokołu kontroli (a przed jego podpisaniem), pisemnych, umotywowanych zastrzeżeń do ustaleń zawartych w protokole kontroli. 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Niniejszy protokół kontroli sporządzono w dwóch jednobrzmiących egzemplarzach, z których jeden doręczono kierownikowi jednostki kontrolowanej w dniu …………………………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W przypadku nieskorzystania z prawa wniesienia zastrzeżeń, protokół należy podpisać (zaleca się również zaparafowanie każdej ze stron), opatrzeć datą  a następnie przekazać 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lastRenderedPageBreak/>
        <w:t xml:space="preserve">kontrolującemu podpisany egzemplarz protokołu w terminie 7 dni roboczych od daty jego otrzymania. 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O przeprowadzeniu kontroli dokonano wpisu do książki kontroli jednostki pod </w:t>
      </w:r>
      <w:proofErr w:type="spellStart"/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poz</w:t>
      </w:r>
      <w:proofErr w:type="spellEnd"/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…………..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Kielce, 25.06.2021 r.</w:t>
      </w:r>
    </w:p>
    <w:p w:rsidR="00DC240B" w:rsidRPr="00DC240B" w:rsidRDefault="00DC240B" w:rsidP="00DC240B">
      <w:pPr>
        <w:spacing w:before="120" w:after="120" w:line="240" w:lineRule="auto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Kontrolujący:</w:t>
      </w:r>
    </w:p>
    <w:p w:rsidR="00DC240B" w:rsidRPr="00DC240B" w:rsidRDefault="00DC240B" w:rsidP="00DC240B">
      <w:pPr>
        <w:spacing w:before="120" w:after="120" w:line="240" w:lineRule="auto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………………………………………</w:t>
      </w:r>
    </w:p>
    <w:p w:rsidR="00DC240B" w:rsidRPr="00DC240B" w:rsidRDefault="00DC240B" w:rsidP="00DC240B">
      <w:pPr>
        <w:spacing w:before="120" w:after="120" w:line="240" w:lineRule="auto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……………………………………….</w:t>
      </w:r>
    </w:p>
    <w:p w:rsidR="00DC240B" w:rsidRPr="00DC240B" w:rsidRDefault="00DC240B" w:rsidP="00DC240B">
      <w:pPr>
        <w:spacing w:before="120"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Świętokrzyskie Centrum Doskonalenia Nauczycieli w Kielcach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………………………………..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Kielce, 25.06.2021 r.</w:t>
      </w:r>
    </w:p>
    <w:p w:rsidR="00DC240B" w:rsidRPr="00DC240B" w:rsidRDefault="00DC240B" w:rsidP="00DC24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  <w:t>(imię i nazwisko kierownika jednostki)</w:t>
      </w: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</w:pPr>
    </w:p>
    <w:p w:rsidR="00DC240B" w:rsidRPr="00DC240B" w:rsidRDefault="00DC240B" w:rsidP="00DC240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DC240B" w:rsidRPr="00DC240B" w:rsidRDefault="00DC240B" w:rsidP="00DC24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Pokwitowanie odbioru protokołu kontroli     </w:t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……………………………………….</w:t>
      </w:r>
    </w:p>
    <w:p w:rsidR="00DC240B" w:rsidRPr="00DC240B" w:rsidRDefault="00DC240B" w:rsidP="00DC240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DC240B"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  <w:t>(data, imię i nazwisko kierownika jednostki)</w:t>
      </w:r>
    </w:p>
    <w:p w:rsidR="00DC240B" w:rsidRPr="00DC240B" w:rsidRDefault="00DC240B" w:rsidP="00DC2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71C0" w:rsidRDefault="00AE2497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D404D"/>
    <w:multiLevelType w:val="hybridMultilevel"/>
    <w:tmpl w:val="3648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5775F"/>
    <w:multiLevelType w:val="hybridMultilevel"/>
    <w:tmpl w:val="8A48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0B81"/>
    <w:multiLevelType w:val="hybridMultilevel"/>
    <w:tmpl w:val="F308FD76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04973"/>
    <w:multiLevelType w:val="hybridMultilevel"/>
    <w:tmpl w:val="CF60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0BEE"/>
    <w:multiLevelType w:val="hybridMultilevel"/>
    <w:tmpl w:val="EE7E2122"/>
    <w:lvl w:ilvl="0" w:tplc="218677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87D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0B"/>
    <w:rsid w:val="003E7361"/>
    <w:rsid w:val="0066221A"/>
    <w:rsid w:val="00AE2497"/>
    <w:rsid w:val="00D379E7"/>
    <w:rsid w:val="00DC240B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ECCAC-CAFF-4B86-8580-8CEFE8DC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2012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3</cp:revision>
  <dcterms:created xsi:type="dcterms:W3CDTF">2021-07-07T12:44:00Z</dcterms:created>
  <dcterms:modified xsi:type="dcterms:W3CDTF">2021-07-14T08:36:00Z</dcterms:modified>
</cp:coreProperties>
</file>