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29" w:rsidRPr="00CA110F" w:rsidRDefault="00681C5E">
      <w:pPr>
        <w:spacing w:after="18" w:line="259" w:lineRule="auto"/>
        <w:ind w:left="854" w:firstLine="0"/>
        <w:jc w:val="center"/>
      </w:pPr>
      <w:r w:rsidRPr="00CA110F">
        <w:rPr>
          <w:b/>
          <w:sz w:val="24"/>
        </w:rPr>
        <w:t xml:space="preserve">Szczegółowy opis przedmiotu zamówienia </w:t>
      </w:r>
    </w:p>
    <w:p w:rsidR="003D2929" w:rsidRPr="00CA110F" w:rsidRDefault="00681C5E">
      <w:pPr>
        <w:spacing w:after="149" w:line="259" w:lineRule="auto"/>
        <w:ind w:left="0" w:firstLine="0"/>
        <w:jc w:val="left"/>
      </w:pPr>
      <w:r w:rsidRPr="00CA110F">
        <w:rPr>
          <w:b/>
          <w:sz w:val="24"/>
        </w:rPr>
        <w:t xml:space="preserve"> </w:t>
      </w:r>
    </w:p>
    <w:p w:rsidR="003D2929" w:rsidRPr="00CA110F" w:rsidRDefault="00681C5E">
      <w:pPr>
        <w:pStyle w:val="Nagwek1"/>
        <w:spacing w:after="76"/>
        <w:ind w:left="-5"/>
      </w:pPr>
      <w:r w:rsidRPr="00CA110F">
        <w:t>I.</w:t>
      </w:r>
      <w:r w:rsidRPr="00CA110F">
        <w:rPr>
          <w:rFonts w:eastAsia="Arial" w:cs="Arial"/>
        </w:rPr>
        <w:t xml:space="preserve"> </w:t>
      </w:r>
      <w:r w:rsidRPr="00CA110F">
        <w:t xml:space="preserve">PRZEDMIOT ZAMÓWIENIA </w:t>
      </w:r>
    </w:p>
    <w:p w:rsidR="003D2929" w:rsidRDefault="00681C5E">
      <w:pPr>
        <w:spacing w:after="168"/>
      </w:pPr>
      <w:r w:rsidRPr="00CA110F">
        <w:t>Przedmiotem zamówienia jest dostawa, montaż i urucho</w:t>
      </w:r>
      <w:r w:rsidR="00764625" w:rsidRPr="00CA110F">
        <w:t>mienie układów kompensacji dynamicznej</w:t>
      </w:r>
      <w:r w:rsidRPr="00CA110F">
        <w:t xml:space="preserve"> </w:t>
      </w:r>
      <w:r w:rsidR="00254F6C">
        <w:t>w ramach zadania „Modernizacja</w:t>
      </w:r>
      <w:r w:rsidR="00254F6C" w:rsidRPr="00254F6C">
        <w:t xml:space="preserve"> kompensatora mocy biernej w stacji transformatorowej  zasilającej  budynek C2 Urzędu Marszałkowskiego Województwa Świętokrzyskiego w Kielcach przy al. IX Wieków Kielc 3</w:t>
      </w:r>
      <w:r w:rsidR="00254F6C">
        <w:t>”,</w:t>
      </w:r>
      <w:r w:rsidRPr="00CA110F">
        <w:rPr>
          <w:color w:val="FF0000"/>
        </w:rPr>
        <w:t xml:space="preserve"> </w:t>
      </w:r>
      <w:r w:rsidR="000324D2">
        <w:t>celem zmniejszenia</w:t>
      </w:r>
      <w:r w:rsidRPr="00CA110F">
        <w:t xml:space="preserve"> opłat (o co najmniej 90 %) za energię bierną względem opłat, które występowały przed przystosowaniem istniejącego układu kompensacji mocy biernej.</w:t>
      </w:r>
      <w:r w:rsidR="00796179">
        <w:t xml:space="preserve"> </w:t>
      </w:r>
      <w:r w:rsidRPr="00CA110F">
        <w:t xml:space="preserve"> </w:t>
      </w:r>
    </w:p>
    <w:p w:rsidR="00796179" w:rsidRPr="00796179" w:rsidRDefault="00796179">
      <w:pPr>
        <w:spacing w:after="168"/>
        <w:rPr>
          <w:b/>
        </w:rPr>
      </w:pPr>
      <w:r w:rsidRPr="00796179">
        <w:rPr>
          <w:b/>
        </w:rPr>
        <w:t>Zakładany efekt winien być osiągnięty nie później niż dwa miesiące od daty odbioru końcowego.</w:t>
      </w:r>
    </w:p>
    <w:p w:rsidR="003D2929" w:rsidRPr="00CA110F" w:rsidRDefault="00681C5E">
      <w:pPr>
        <w:spacing w:after="16" w:line="259" w:lineRule="auto"/>
        <w:ind w:left="0" w:firstLine="0"/>
        <w:jc w:val="left"/>
      </w:pPr>
      <w:r w:rsidRPr="00CA110F">
        <w:t xml:space="preserve"> </w:t>
      </w:r>
      <w:bookmarkStart w:id="0" w:name="_GoBack"/>
      <w:bookmarkEnd w:id="0"/>
    </w:p>
    <w:p w:rsidR="003D2929" w:rsidRPr="00CA110F" w:rsidRDefault="00681C5E">
      <w:r w:rsidRPr="00CA110F">
        <w:t xml:space="preserve">Do zadań wykonawcy należy: </w:t>
      </w:r>
    </w:p>
    <w:p w:rsidR="003D2929" w:rsidRPr="00CA110F" w:rsidRDefault="00681C5E">
      <w:pPr>
        <w:numPr>
          <w:ilvl w:val="0"/>
          <w:numId w:val="1"/>
        </w:numPr>
        <w:ind w:hanging="360"/>
      </w:pPr>
      <w:r w:rsidRPr="00CA110F">
        <w:t xml:space="preserve">Obliczenia i dobór odpowiedniego urządzenia na podstawie wyników pomiarów - przedstawienie do akceptacji propozycji zamawiającemu. Układ kompensacji należy dobrać na podstawie wyników pomiarów elektrycznych pod kątem doboru układu do kompensacji mocy biernej przeprowadzonych przez wykonawcę. Po uruchomieniu układu należy dokonać pomiarów współczynnika </w:t>
      </w:r>
      <w:proofErr w:type="spellStart"/>
      <w:r w:rsidRPr="00CA110F">
        <w:t>tg</w:t>
      </w:r>
      <w:proofErr w:type="spellEnd"/>
      <w:r w:rsidRPr="00CA110F">
        <w:t xml:space="preserve"> φ. Wyniki pomiarów załączyć do dokumentacji doboru oraz dokumentacji powykonawczej; </w:t>
      </w:r>
    </w:p>
    <w:p w:rsidR="00165BF5" w:rsidRPr="00CA110F" w:rsidRDefault="00165BF5" w:rsidP="00165BF5">
      <w:pPr>
        <w:ind w:left="360" w:firstLine="0"/>
      </w:pPr>
      <w:r w:rsidRPr="00254F6C">
        <w:t xml:space="preserve">Rejestracja parametrów zasilania </w:t>
      </w:r>
      <w:r w:rsidR="009456CB" w:rsidRPr="00254F6C">
        <w:t xml:space="preserve">do celów doboru </w:t>
      </w:r>
      <w:r w:rsidRPr="00254F6C">
        <w:t xml:space="preserve">powinna </w:t>
      </w:r>
      <w:r w:rsidR="00A84DF5" w:rsidRPr="00254F6C">
        <w:t xml:space="preserve">być wykonana w okresie </w:t>
      </w:r>
      <w:r w:rsidRPr="00254F6C">
        <w:t>minimum 7 dni.</w:t>
      </w:r>
    </w:p>
    <w:p w:rsidR="003D2929" w:rsidRPr="00CA110F" w:rsidRDefault="00681C5E">
      <w:pPr>
        <w:numPr>
          <w:ilvl w:val="0"/>
          <w:numId w:val="1"/>
        </w:numPr>
        <w:ind w:hanging="360"/>
      </w:pPr>
      <w:r w:rsidRPr="00CA110F">
        <w:t>M</w:t>
      </w:r>
      <w:r w:rsidR="00764625" w:rsidRPr="00CA110F">
        <w:t xml:space="preserve">ontaż nowego układu kompensatora dynamicznego </w:t>
      </w:r>
      <w:r w:rsidRPr="00CA110F">
        <w:t xml:space="preserve">mocy biernej; </w:t>
      </w:r>
    </w:p>
    <w:p w:rsidR="003D2929" w:rsidRPr="00CA110F" w:rsidRDefault="00681C5E">
      <w:pPr>
        <w:numPr>
          <w:ilvl w:val="0"/>
          <w:numId w:val="1"/>
        </w:numPr>
        <w:ind w:hanging="360"/>
      </w:pPr>
      <w:r w:rsidRPr="00CA110F">
        <w:t xml:space="preserve">Zapewnienie nadzoru nad realizacją prac; </w:t>
      </w:r>
    </w:p>
    <w:p w:rsidR="003D2929" w:rsidRPr="00CA110F" w:rsidRDefault="00681C5E">
      <w:pPr>
        <w:numPr>
          <w:ilvl w:val="0"/>
          <w:numId w:val="1"/>
        </w:numPr>
        <w:ind w:hanging="360"/>
      </w:pPr>
      <w:r w:rsidRPr="00CA110F">
        <w:t xml:space="preserve">Wykonanie wszystkich niezbędnych połączeń układu kompensacji mocy biernej z istniejącą instalacją elektryczną w budynku; </w:t>
      </w:r>
    </w:p>
    <w:p w:rsidR="003D2929" w:rsidRPr="00CA110F" w:rsidRDefault="00681C5E">
      <w:pPr>
        <w:numPr>
          <w:ilvl w:val="0"/>
          <w:numId w:val="1"/>
        </w:numPr>
        <w:ind w:hanging="360"/>
      </w:pPr>
      <w:r w:rsidRPr="00CA110F">
        <w:t xml:space="preserve">Wykonanie uszczelnień przejść przez ściany (jeśli zajdzie potrzeba); </w:t>
      </w:r>
    </w:p>
    <w:p w:rsidR="003D2929" w:rsidRPr="00CA110F" w:rsidRDefault="00681C5E">
      <w:pPr>
        <w:numPr>
          <w:ilvl w:val="0"/>
          <w:numId w:val="1"/>
        </w:numPr>
        <w:ind w:hanging="360"/>
      </w:pPr>
      <w:r w:rsidRPr="00CA110F">
        <w:t xml:space="preserve">Uruchomienie układu kompensacji mocy biernej; </w:t>
      </w:r>
    </w:p>
    <w:p w:rsidR="003D2929" w:rsidRPr="00CA110F" w:rsidRDefault="00165BF5">
      <w:pPr>
        <w:numPr>
          <w:ilvl w:val="0"/>
          <w:numId w:val="1"/>
        </w:numPr>
        <w:ind w:hanging="360"/>
      </w:pPr>
      <w:r w:rsidRPr="00254F6C">
        <w:t xml:space="preserve">Konfiguracja i parametryzacja </w:t>
      </w:r>
      <w:r w:rsidR="00681C5E" w:rsidRPr="00254F6C">
        <w:t>układu</w:t>
      </w:r>
      <w:r w:rsidR="00681C5E" w:rsidRPr="00CA110F">
        <w:t xml:space="preserve">; </w:t>
      </w:r>
    </w:p>
    <w:p w:rsidR="003D2929" w:rsidRPr="00CA110F" w:rsidRDefault="00681C5E">
      <w:pPr>
        <w:numPr>
          <w:ilvl w:val="0"/>
          <w:numId w:val="1"/>
        </w:numPr>
        <w:ind w:hanging="360"/>
      </w:pPr>
      <w:r w:rsidRPr="00CA110F">
        <w:t xml:space="preserve">Wykonanie pomiarów i badań oraz sporządzenie stosownych protokołów z tych czynności </w:t>
      </w:r>
    </w:p>
    <w:p w:rsidR="003D2929" w:rsidRPr="00CA110F" w:rsidRDefault="00681C5E">
      <w:pPr>
        <w:numPr>
          <w:ilvl w:val="0"/>
          <w:numId w:val="1"/>
        </w:numPr>
        <w:ind w:hanging="360"/>
      </w:pPr>
      <w:r w:rsidRPr="00CA110F">
        <w:t xml:space="preserve">Wykonanie drobnych prac naprawczych po montażowych (jeśli zajdzie potrzeba); </w:t>
      </w:r>
    </w:p>
    <w:p w:rsidR="003D2929" w:rsidRPr="00CA110F" w:rsidRDefault="00681C5E">
      <w:pPr>
        <w:numPr>
          <w:ilvl w:val="0"/>
          <w:numId w:val="1"/>
        </w:numPr>
        <w:spacing w:after="154"/>
        <w:ind w:hanging="360"/>
      </w:pPr>
      <w:r w:rsidRPr="00CA110F">
        <w:t xml:space="preserve">Sporządzenie dokumentacji powykonawczej (schemat rozdzielni z zaznaczonym miejscem włączenia układu, atesty, certyfikaty, aprobaty, instrukcja obsługi, DTR, karty gwarancyjne, protokoły z badań i pomiarów); </w:t>
      </w:r>
    </w:p>
    <w:p w:rsidR="00681C5E" w:rsidRPr="00254F6C" w:rsidRDefault="00681C5E">
      <w:pPr>
        <w:numPr>
          <w:ilvl w:val="0"/>
          <w:numId w:val="1"/>
        </w:numPr>
        <w:spacing w:after="154"/>
        <w:ind w:hanging="360"/>
      </w:pPr>
      <w:r w:rsidRPr="00254F6C">
        <w:t xml:space="preserve">Wizja lokalna na obiekcie przed </w:t>
      </w:r>
      <w:r w:rsidR="00254F6C" w:rsidRPr="00254F6C">
        <w:t xml:space="preserve">złożeniem oferty. </w:t>
      </w:r>
    </w:p>
    <w:p w:rsidR="003D2929" w:rsidRPr="00CA110F" w:rsidRDefault="00681C5E">
      <w:pPr>
        <w:spacing w:after="101" w:line="259" w:lineRule="auto"/>
        <w:ind w:left="-5"/>
        <w:jc w:val="left"/>
      </w:pPr>
      <w:r w:rsidRPr="00CA110F">
        <w:rPr>
          <w:b/>
        </w:rPr>
        <w:t>II.</w:t>
      </w:r>
      <w:r w:rsidRPr="00CA110F">
        <w:rPr>
          <w:rFonts w:eastAsia="Arial" w:cs="Arial"/>
          <w:b/>
        </w:rPr>
        <w:t xml:space="preserve"> </w:t>
      </w:r>
      <w:r w:rsidRPr="00CA110F">
        <w:rPr>
          <w:b/>
        </w:rPr>
        <w:t xml:space="preserve">WYMAGANIA ZAMAWIAJĄCEGO: </w:t>
      </w:r>
    </w:p>
    <w:p w:rsidR="003D2929" w:rsidRPr="00CA110F" w:rsidRDefault="00681C5E">
      <w:pPr>
        <w:numPr>
          <w:ilvl w:val="0"/>
          <w:numId w:val="2"/>
        </w:numPr>
        <w:spacing w:after="95"/>
        <w:ind w:hanging="355"/>
      </w:pPr>
      <w:r w:rsidRPr="00CA110F">
        <w:t>Miejsce montażu układu kompensacji</w:t>
      </w:r>
      <w:r w:rsidR="00833D80" w:rsidRPr="00CA110F">
        <w:t xml:space="preserve"> dynamicznej</w:t>
      </w:r>
      <w:r w:rsidRPr="00CA110F">
        <w:t xml:space="preserve"> mocy biernej na etapie doboru musi być uzgodnienie z Zamawiającym; </w:t>
      </w:r>
    </w:p>
    <w:p w:rsidR="003D2929" w:rsidRPr="00CA110F" w:rsidRDefault="00681C5E">
      <w:pPr>
        <w:numPr>
          <w:ilvl w:val="0"/>
          <w:numId w:val="2"/>
        </w:numPr>
        <w:spacing w:after="95"/>
        <w:ind w:hanging="355"/>
      </w:pPr>
      <w:r w:rsidRPr="00CA110F">
        <w:t xml:space="preserve">Układ kompensacji należy dobrać na podstawie wyników pomiarów elektrycznych pod kątem doboru układu do kompensacji mocy biernej pojemnościowej przeprowadzonych przez wykonawcę. Po uruchomieniu układu należy dokonać pomiarów współczynnika </w:t>
      </w:r>
      <w:proofErr w:type="spellStart"/>
      <w:r w:rsidRPr="00CA110F">
        <w:t>tgφ</w:t>
      </w:r>
      <w:proofErr w:type="spellEnd"/>
      <w:r w:rsidRPr="00CA110F">
        <w:t xml:space="preserve">. </w:t>
      </w:r>
      <w:r w:rsidRPr="00CA110F">
        <w:rPr>
          <w:b/>
        </w:rPr>
        <w:t>Wyniki pomiarów załączyć do dokumentacji doboru oraz dokumentacji powykonawczej;</w:t>
      </w:r>
      <w:r w:rsidRPr="00CA110F">
        <w:t xml:space="preserve"> </w:t>
      </w:r>
    </w:p>
    <w:p w:rsidR="003D2929" w:rsidRPr="00254F6C" w:rsidRDefault="00681C5E">
      <w:pPr>
        <w:numPr>
          <w:ilvl w:val="0"/>
          <w:numId w:val="2"/>
        </w:numPr>
        <w:spacing w:after="95"/>
        <w:ind w:hanging="355"/>
      </w:pPr>
      <w:r w:rsidRPr="00CA110F">
        <w:lastRenderedPageBreak/>
        <w:t xml:space="preserve">Układ przeznaczony jest do kompensacji sieci zasilającej odbiorniki o znacznej asymetrii obciążenia. Układ pomiarowy winien dokonywać pomiarów parametrów sieci dla każdej fazy oddzielnie. </w:t>
      </w:r>
      <w:r w:rsidR="00A47C15" w:rsidRPr="00254F6C">
        <w:t>Układ kompensacji powinien generować moc bierną bezstopniowo.</w:t>
      </w:r>
    </w:p>
    <w:p w:rsidR="003D2929" w:rsidRPr="00CA110F" w:rsidRDefault="00681C5E">
      <w:pPr>
        <w:numPr>
          <w:ilvl w:val="0"/>
          <w:numId w:val="2"/>
        </w:numPr>
        <w:spacing w:after="97"/>
        <w:ind w:hanging="355"/>
      </w:pPr>
      <w:r w:rsidRPr="00CA110F">
        <w:t xml:space="preserve">Układ kompensacji </w:t>
      </w:r>
      <w:r w:rsidR="00833D80" w:rsidRPr="00CA110F">
        <w:t xml:space="preserve">dynamicznej </w:t>
      </w:r>
      <w:r w:rsidRPr="00CA110F">
        <w:t xml:space="preserve">mocy biernej należy dobrać z około 20% zapasem mocy; </w:t>
      </w:r>
    </w:p>
    <w:p w:rsidR="003D2929" w:rsidRPr="00CA110F" w:rsidRDefault="00681C5E">
      <w:pPr>
        <w:numPr>
          <w:ilvl w:val="0"/>
          <w:numId w:val="2"/>
        </w:numPr>
        <w:spacing w:after="7"/>
        <w:ind w:hanging="355"/>
      </w:pPr>
      <w:r w:rsidRPr="00CA110F">
        <w:t xml:space="preserve">Układ powinien spowodować uzyskanie współczynnika </w:t>
      </w:r>
      <w:proofErr w:type="spellStart"/>
      <w:r w:rsidRPr="00CA110F">
        <w:t>tgφ</w:t>
      </w:r>
      <w:proofErr w:type="spellEnd"/>
      <w:r w:rsidRPr="00CA110F">
        <w:t xml:space="preserve"> pozwalającego </w:t>
      </w:r>
    </w:p>
    <w:p w:rsidR="003D2929" w:rsidRPr="00CA110F" w:rsidRDefault="00681C5E">
      <w:pPr>
        <w:ind w:left="723"/>
      </w:pPr>
      <w:r w:rsidRPr="00CA110F">
        <w:t>likwidacja opłat za energię bierną pojemnościowa oraz indukcyjną.</w:t>
      </w:r>
    </w:p>
    <w:p w:rsidR="003D2929" w:rsidRPr="00CA110F" w:rsidRDefault="00681C5E">
      <w:pPr>
        <w:numPr>
          <w:ilvl w:val="0"/>
          <w:numId w:val="2"/>
        </w:numPr>
        <w:spacing w:after="92"/>
        <w:ind w:hanging="355"/>
      </w:pPr>
      <w:r w:rsidRPr="00CA110F">
        <w:t xml:space="preserve">Wykonawca jest zobowiązany do przeprowadzenia zmian w instalacji elektrycznej i rozdzielni w miejscu instalacji w miarę potrzeb wynikających z konieczności realizacji przedmiotu zamówienia; </w:t>
      </w:r>
    </w:p>
    <w:p w:rsidR="003D2929" w:rsidRPr="00CA110F" w:rsidRDefault="00681C5E">
      <w:pPr>
        <w:numPr>
          <w:ilvl w:val="0"/>
          <w:numId w:val="2"/>
        </w:numPr>
        <w:spacing w:after="92"/>
        <w:ind w:hanging="355"/>
      </w:pPr>
      <w:r w:rsidRPr="00CA110F">
        <w:t xml:space="preserve">Uruchomienie i ciągła praca urządzenia w miejscu instalacji będzie zgodna z przepisami ppoż., BHP oraz innymi dotyczącymi lokalizacji i eksploatacji urządzeń danego rodzaju; </w:t>
      </w:r>
    </w:p>
    <w:p w:rsidR="003D2929" w:rsidRPr="00CA110F" w:rsidRDefault="00681C5E">
      <w:pPr>
        <w:numPr>
          <w:ilvl w:val="0"/>
          <w:numId w:val="2"/>
        </w:numPr>
        <w:spacing w:after="95"/>
        <w:ind w:hanging="355"/>
      </w:pPr>
      <w:r w:rsidRPr="00CA110F">
        <w:t xml:space="preserve">Pracownicy Wykonawcy wyznaczeni do montażu w obiektach Zamawiającego urządzenia stanowiącego przedmiot niniejszego zamówienia zobowiązani są posiadać Świadectwa Kwalifikacyjne uprawniające do zajmowania się eksploatacją urządzeń, instalacji i sieci o napięciu do 1 </w:t>
      </w:r>
      <w:proofErr w:type="spellStart"/>
      <w:r w:rsidRPr="00CA110F">
        <w:t>kV</w:t>
      </w:r>
      <w:proofErr w:type="spellEnd"/>
      <w:r w:rsidRPr="00CA110F">
        <w:t xml:space="preserve">; </w:t>
      </w:r>
    </w:p>
    <w:p w:rsidR="003D2929" w:rsidRPr="00CA110F" w:rsidRDefault="00681C5E">
      <w:pPr>
        <w:numPr>
          <w:ilvl w:val="0"/>
          <w:numId w:val="2"/>
        </w:numPr>
        <w:spacing w:after="95"/>
        <w:ind w:hanging="355"/>
      </w:pPr>
      <w:r w:rsidRPr="00CA110F">
        <w:t xml:space="preserve">Dostarczone urządzenie musi posiadać gwarancję i być fabrycznie nowe, nieuszkodzone, nieużywane, nieobciążone prawami podmiotów trzecich; </w:t>
      </w:r>
    </w:p>
    <w:p w:rsidR="003D2929" w:rsidRPr="00CA110F" w:rsidRDefault="00681C5E">
      <w:pPr>
        <w:numPr>
          <w:ilvl w:val="0"/>
          <w:numId w:val="2"/>
        </w:numPr>
        <w:spacing w:after="96"/>
        <w:ind w:hanging="355"/>
      </w:pPr>
      <w:r w:rsidRPr="00CA110F">
        <w:t xml:space="preserve">Dostarczone urządzenie może być wyprodukowane nie wcześniej niż na 12 miesięcy przed jego instalacją; </w:t>
      </w:r>
    </w:p>
    <w:p w:rsidR="008F2C47" w:rsidRPr="00CA110F" w:rsidRDefault="00681C5E" w:rsidP="008F2C47">
      <w:pPr>
        <w:numPr>
          <w:ilvl w:val="0"/>
          <w:numId w:val="2"/>
        </w:numPr>
        <w:spacing w:after="92"/>
        <w:ind w:hanging="355"/>
      </w:pPr>
      <w:r w:rsidRPr="00CA110F">
        <w:t xml:space="preserve">Urządzenia mają być dostarczone w oryginalnych, zamkniętych opakowaniach producenta; </w:t>
      </w:r>
    </w:p>
    <w:p w:rsidR="003D2929" w:rsidRPr="00254F6C" w:rsidRDefault="008F2C47" w:rsidP="00A84DF5">
      <w:pPr>
        <w:numPr>
          <w:ilvl w:val="0"/>
          <w:numId w:val="2"/>
        </w:numPr>
        <w:spacing w:after="92"/>
        <w:ind w:hanging="355"/>
      </w:pPr>
      <w:r w:rsidRPr="00254F6C">
        <w:t>Na dostarczone urządzenie i wykonaną instalację Wykonawca udzieli 24 miesięcznej gwarancji.</w:t>
      </w:r>
    </w:p>
    <w:p w:rsidR="008F2C47" w:rsidRPr="00254F6C" w:rsidRDefault="00E7383B" w:rsidP="00254F6C">
      <w:pPr>
        <w:pStyle w:val="Akapitzlist"/>
        <w:numPr>
          <w:ilvl w:val="0"/>
          <w:numId w:val="2"/>
        </w:numPr>
        <w:spacing w:after="154" w:line="266" w:lineRule="auto"/>
        <w:ind w:hanging="416"/>
      </w:pPr>
      <w:r w:rsidRPr="00254F6C">
        <w:t xml:space="preserve">Wykonawca, w ramach przedmiotu zamówienia </w:t>
      </w:r>
      <w:r w:rsidR="0013298D" w:rsidRPr="00254F6C">
        <w:t xml:space="preserve">przeprowadzi </w:t>
      </w:r>
      <w:r w:rsidRPr="00254F6C">
        <w:t xml:space="preserve"> kontrol</w:t>
      </w:r>
      <w:r w:rsidR="0013298D" w:rsidRPr="00254F6C">
        <w:t xml:space="preserve">ę </w:t>
      </w:r>
      <w:r w:rsidR="000B528E" w:rsidRPr="00254F6C">
        <w:t xml:space="preserve"> i </w:t>
      </w:r>
      <w:r w:rsidR="0013298D" w:rsidRPr="00254F6C">
        <w:t>przegląd urządzenia</w:t>
      </w:r>
      <w:r w:rsidR="000B528E" w:rsidRPr="00254F6C">
        <w:t xml:space="preserve"> oraz</w:t>
      </w:r>
      <w:r w:rsidR="0013298D" w:rsidRPr="00254F6C">
        <w:t xml:space="preserve"> wykonanej instalacji w okres</w:t>
      </w:r>
      <w:r w:rsidR="008F2C47" w:rsidRPr="00254F6C">
        <w:t>ach:</w:t>
      </w:r>
    </w:p>
    <w:p w:rsidR="008F2C47" w:rsidRPr="00254F6C" w:rsidRDefault="0013298D" w:rsidP="00A84DF5">
      <w:pPr>
        <w:spacing w:after="154" w:line="266" w:lineRule="auto"/>
        <w:ind w:left="697" w:firstLine="0"/>
        <w:contextualSpacing/>
      </w:pPr>
      <w:r w:rsidRPr="00254F6C">
        <w:t xml:space="preserve"> 2 </w:t>
      </w:r>
      <w:r w:rsidR="008F2C47" w:rsidRPr="00254F6C">
        <w:t>-</w:t>
      </w:r>
      <w:r w:rsidRPr="00254F6C">
        <w:t xml:space="preserve"> 4 tygodni</w:t>
      </w:r>
    </w:p>
    <w:p w:rsidR="008F2C47" w:rsidRPr="00254F6C" w:rsidRDefault="008F2C47" w:rsidP="00A84DF5">
      <w:pPr>
        <w:spacing w:after="154" w:line="266" w:lineRule="auto"/>
        <w:ind w:left="697" w:firstLine="0"/>
        <w:contextualSpacing/>
      </w:pPr>
      <w:r w:rsidRPr="00254F6C">
        <w:t>10-12 miesięcy</w:t>
      </w:r>
    </w:p>
    <w:p w:rsidR="008F2C47" w:rsidRPr="00CA110F" w:rsidRDefault="008F2C47" w:rsidP="00A84DF5">
      <w:pPr>
        <w:spacing w:after="154" w:line="266" w:lineRule="auto"/>
        <w:ind w:left="697" w:firstLine="0"/>
        <w:contextualSpacing/>
      </w:pPr>
      <w:r w:rsidRPr="00254F6C">
        <w:t>22- 24</w:t>
      </w:r>
      <w:r w:rsidR="00A84DF5" w:rsidRPr="00254F6C">
        <w:t xml:space="preserve"> </w:t>
      </w:r>
      <w:r w:rsidRPr="00254F6C">
        <w:t>miesięcy po uruchomieniu urządzenia</w:t>
      </w:r>
    </w:p>
    <w:p w:rsidR="008F2C47" w:rsidRPr="00CA110F" w:rsidRDefault="008F2C47" w:rsidP="008F2C47">
      <w:pPr>
        <w:spacing w:after="154"/>
        <w:ind w:left="700" w:firstLine="0"/>
      </w:pPr>
    </w:p>
    <w:p w:rsidR="000B528E" w:rsidRPr="00CA110F" w:rsidRDefault="000B528E" w:rsidP="00E7383B">
      <w:pPr>
        <w:spacing w:after="154"/>
        <w:ind w:left="700" w:firstLine="0"/>
      </w:pPr>
    </w:p>
    <w:p w:rsidR="003D2929" w:rsidRPr="00CA110F" w:rsidRDefault="00681C5E">
      <w:pPr>
        <w:pStyle w:val="Nagwek1"/>
        <w:ind w:left="-5"/>
      </w:pPr>
      <w:r w:rsidRPr="00CA110F">
        <w:t>III.</w:t>
      </w:r>
      <w:r w:rsidRPr="00CA110F">
        <w:rPr>
          <w:rFonts w:eastAsia="Arial" w:cs="Arial"/>
        </w:rPr>
        <w:t xml:space="preserve"> </w:t>
      </w:r>
      <w:r w:rsidRPr="00CA110F">
        <w:t xml:space="preserve">Wymagania stawiane urządzeniu </w:t>
      </w:r>
    </w:p>
    <w:p w:rsidR="00764625" w:rsidRPr="00CA110F" w:rsidRDefault="00764625">
      <w:pPr>
        <w:numPr>
          <w:ilvl w:val="0"/>
          <w:numId w:val="3"/>
        </w:numPr>
        <w:spacing w:after="0"/>
        <w:ind w:hanging="360"/>
      </w:pPr>
      <w:r w:rsidRPr="00CA110F">
        <w:t xml:space="preserve">Moc kompensatora 100- 140 </w:t>
      </w:r>
      <w:proofErr w:type="spellStart"/>
      <w:r w:rsidRPr="00CA110F">
        <w:t>kVAr</w:t>
      </w:r>
      <w:proofErr w:type="spellEnd"/>
      <w:r w:rsidRPr="00CA110F">
        <w:t xml:space="preserve"> </w:t>
      </w:r>
    </w:p>
    <w:p w:rsidR="00764625" w:rsidRPr="00CA110F" w:rsidRDefault="00764625">
      <w:pPr>
        <w:numPr>
          <w:ilvl w:val="0"/>
          <w:numId w:val="3"/>
        </w:numPr>
        <w:spacing w:after="0"/>
        <w:ind w:hanging="360"/>
      </w:pPr>
      <w:r w:rsidRPr="00CA110F">
        <w:rPr>
          <w:rFonts w:cs="Calibri"/>
        </w:rPr>
        <w:t>Czas regulacji ≤ 5 ms i reakcji,</w:t>
      </w:r>
    </w:p>
    <w:p w:rsidR="00764625" w:rsidRPr="00CA110F" w:rsidRDefault="00764625">
      <w:pPr>
        <w:numPr>
          <w:ilvl w:val="0"/>
          <w:numId w:val="3"/>
        </w:numPr>
        <w:spacing w:after="0"/>
        <w:ind w:hanging="360"/>
      </w:pPr>
      <w:r w:rsidRPr="00CA110F">
        <w:rPr>
          <w:rFonts w:cs="Calibri"/>
        </w:rPr>
        <w:t>Czas reakcji  ~  10 ms- kompensacja nadążna.</w:t>
      </w:r>
    </w:p>
    <w:p w:rsidR="00764625" w:rsidRPr="00CA110F" w:rsidRDefault="00764625">
      <w:pPr>
        <w:numPr>
          <w:ilvl w:val="0"/>
          <w:numId w:val="3"/>
        </w:numPr>
        <w:spacing w:after="0"/>
        <w:ind w:hanging="360"/>
      </w:pPr>
      <w:r w:rsidRPr="00CA110F">
        <w:rPr>
          <w:rFonts w:cs="Calibri"/>
        </w:rPr>
        <w:t>Całkowity czas odpowiedzi kompensatora (pomiar, analiza, skompensowanie): 15 ms.</w:t>
      </w:r>
    </w:p>
    <w:p w:rsidR="00764625" w:rsidRPr="00CA110F" w:rsidRDefault="00764625">
      <w:pPr>
        <w:numPr>
          <w:ilvl w:val="0"/>
          <w:numId w:val="3"/>
        </w:numPr>
        <w:spacing w:after="0"/>
        <w:ind w:hanging="360"/>
      </w:pPr>
      <w:r w:rsidRPr="00CA110F">
        <w:rPr>
          <w:rFonts w:cs="Calibri"/>
        </w:rPr>
        <w:t>Regulacja bezstopniowa.</w:t>
      </w:r>
    </w:p>
    <w:p w:rsidR="00764625" w:rsidRPr="00CA110F" w:rsidRDefault="00764625">
      <w:pPr>
        <w:numPr>
          <w:ilvl w:val="0"/>
          <w:numId w:val="3"/>
        </w:numPr>
        <w:spacing w:after="0"/>
        <w:ind w:hanging="360"/>
      </w:pPr>
      <w:r w:rsidRPr="00CA110F">
        <w:rPr>
          <w:rFonts w:cs="Calibri"/>
        </w:rPr>
        <w:t>Kompensacja mocy biernej w każdej fazie indywidualnie.</w:t>
      </w:r>
    </w:p>
    <w:p w:rsidR="00764625" w:rsidRPr="00CA110F" w:rsidRDefault="00764625">
      <w:pPr>
        <w:numPr>
          <w:ilvl w:val="0"/>
          <w:numId w:val="3"/>
        </w:numPr>
        <w:spacing w:after="0"/>
        <w:ind w:hanging="360"/>
      </w:pPr>
      <w:r w:rsidRPr="00CA110F">
        <w:rPr>
          <w:rFonts w:cs="Calibri"/>
        </w:rPr>
        <w:t>Symetryzacja obciążenia faz.</w:t>
      </w:r>
    </w:p>
    <w:p w:rsidR="00764625" w:rsidRPr="00CA110F" w:rsidRDefault="00764625">
      <w:pPr>
        <w:numPr>
          <w:ilvl w:val="0"/>
          <w:numId w:val="3"/>
        </w:numPr>
        <w:spacing w:after="0"/>
        <w:ind w:hanging="360"/>
      </w:pPr>
      <w:r w:rsidRPr="00CA110F">
        <w:rPr>
          <w:rFonts w:cs="Calibri"/>
        </w:rPr>
        <w:t>Kompensacja zarówno mocy biernej indukcyjnej jak również pojemnościowej,</w:t>
      </w:r>
    </w:p>
    <w:p w:rsidR="003D2929" w:rsidRPr="00CA110F" w:rsidRDefault="00681C5E">
      <w:pPr>
        <w:numPr>
          <w:ilvl w:val="0"/>
          <w:numId w:val="3"/>
        </w:numPr>
        <w:spacing w:after="0"/>
        <w:ind w:hanging="360"/>
      </w:pPr>
      <w:r w:rsidRPr="00CA110F">
        <w:t xml:space="preserve">Napięcie znamionowe </w:t>
      </w:r>
      <w:r w:rsidR="00764625" w:rsidRPr="00CA110F">
        <w:t xml:space="preserve">230V do 450V , częstotliwość min. 45 </w:t>
      </w:r>
      <w:proofErr w:type="spellStart"/>
      <w:r w:rsidR="00764625" w:rsidRPr="00CA110F">
        <w:t>Hz</w:t>
      </w:r>
      <w:proofErr w:type="spellEnd"/>
      <w:r w:rsidR="00764625" w:rsidRPr="00CA110F">
        <w:t xml:space="preserve"> do 60 </w:t>
      </w:r>
      <w:proofErr w:type="spellStart"/>
      <w:r w:rsidR="00764625" w:rsidRPr="00CA110F">
        <w:t>Hz</w:t>
      </w:r>
      <w:proofErr w:type="spellEnd"/>
      <w:r w:rsidRPr="00CA110F">
        <w:t xml:space="preserve"> </w:t>
      </w:r>
    </w:p>
    <w:p w:rsidR="003D2929" w:rsidRPr="00CA110F" w:rsidRDefault="00681C5E">
      <w:pPr>
        <w:numPr>
          <w:ilvl w:val="0"/>
          <w:numId w:val="3"/>
        </w:numPr>
        <w:spacing w:after="2" w:line="259" w:lineRule="auto"/>
        <w:ind w:hanging="360"/>
      </w:pPr>
      <w:r w:rsidRPr="00CA110F">
        <w:t xml:space="preserve">Do sterowania kompensatorem pomiar napięcia i prądu  z trzech faz. </w:t>
      </w:r>
    </w:p>
    <w:p w:rsidR="003D2929" w:rsidRPr="00CA110F" w:rsidRDefault="00764625">
      <w:pPr>
        <w:numPr>
          <w:ilvl w:val="0"/>
          <w:numId w:val="3"/>
        </w:numPr>
        <w:spacing w:after="2"/>
        <w:ind w:hanging="360"/>
      </w:pPr>
      <w:r w:rsidRPr="00CA110F">
        <w:rPr>
          <w:rFonts w:cs="Calibri"/>
        </w:rPr>
        <w:t>Zakres prądów: 150/5A do 30000/5A (klasa ≤0,5).</w:t>
      </w:r>
    </w:p>
    <w:p w:rsidR="00764625" w:rsidRPr="00CA110F" w:rsidRDefault="00764625">
      <w:pPr>
        <w:numPr>
          <w:ilvl w:val="0"/>
          <w:numId w:val="3"/>
        </w:numPr>
        <w:spacing w:after="2"/>
        <w:ind w:hanging="360"/>
      </w:pPr>
      <w:r w:rsidRPr="00CA110F">
        <w:rPr>
          <w:rFonts w:cs="Calibri"/>
        </w:rPr>
        <w:lastRenderedPageBreak/>
        <w:t>Zakres współczynnika mocy: od -1 do +1,</w:t>
      </w:r>
    </w:p>
    <w:p w:rsidR="00764625" w:rsidRPr="00CA110F" w:rsidRDefault="00764625">
      <w:pPr>
        <w:numPr>
          <w:ilvl w:val="0"/>
          <w:numId w:val="3"/>
        </w:numPr>
        <w:spacing w:after="2"/>
        <w:ind w:hanging="360"/>
      </w:pPr>
      <w:r w:rsidRPr="00CA110F">
        <w:rPr>
          <w:rFonts w:cs="Calibri"/>
        </w:rPr>
        <w:t>Częstotliwość przełączeń: do 20 kHz.</w:t>
      </w:r>
    </w:p>
    <w:p w:rsidR="00764625" w:rsidRPr="00CA110F" w:rsidRDefault="00764625">
      <w:pPr>
        <w:numPr>
          <w:ilvl w:val="0"/>
          <w:numId w:val="3"/>
        </w:numPr>
        <w:spacing w:after="2"/>
        <w:ind w:hanging="360"/>
      </w:pPr>
      <w:r w:rsidRPr="00CA110F">
        <w:rPr>
          <w:rFonts w:cs="Calibri"/>
        </w:rPr>
        <w:t xml:space="preserve">Port komunikacyjny: RS485, RJ45, Protokół komunikacyjny: </w:t>
      </w:r>
      <w:proofErr w:type="spellStart"/>
      <w:r w:rsidRPr="00CA110F">
        <w:rPr>
          <w:rFonts w:cs="Calibri"/>
        </w:rPr>
        <w:t>Modbus</w:t>
      </w:r>
      <w:proofErr w:type="spellEnd"/>
      <w:r w:rsidRPr="00CA110F">
        <w:rPr>
          <w:rFonts w:cs="Calibri"/>
        </w:rPr>
        <w:t xml:space="preserve"> RTU, </w:t>
      </w:r>
      <w:proofErr w:type="spellStart"/>
      <w:r w:rsidRPr="00CA110F">
        <w:rPr>
          <w:rFonts w:cs="Calibri"/>
        </w:rPr>
        <w:t>Modbus</w:t>
      </w:r>
      <w:proofErr w:type="spellEnd"/>
      <w:r w:rsidRPr="00CA110F">
        <w:rPr>
          <w:rFonts w:cs="Calibri"/>
        </w:rPr>
        <w:t xml:space="preserve"> TCP/IP</w:t>
      </w:r>
    </w:p>
    <w:p w:rsidR="00764625" w:rsidRPr="00254F6C" w:rsidRDefault="00764625">
      <w:pPr>
        <w:numPr>
          <w:ilvl w:val="0"/>
          <w:numId w:val="3"/>
        </w:numPr>
        <w:spacing w:after="2"/>
        <w:ind w:hanging="360"/>
      </w:pPr>
      <w:r w:rsidRPr="00254F6C">
        <w:rPr>
          <w:rFonts w:cs="Calibri"/>
        </w:rPr>
        <w:t>Wyświetlacz min.</w:t>
      </w:r>
      <w:r w:rsidR="00A47C15" w:rsidRPr="00254F6C">
        <w:rPr>
          <w:rFonts w:cs="Calibri"/>
        </w:rPr>
        <w:t xml:space="preserve"> 4,3</w:t>
      </w:r>
      <w:r w:rsidRPr="00254F6C">
        <w:rPr>
          <w:rFonts w:cs="Calibri"/>
        </w:rPr>
        <w:t>”.</w:t>
      </w:r>
    </w:p>
    <w:p w:rsidR="00764625" w:rsidRPr="00CA110F" w:rsidRDefault="00764625">
      <w:pPr>
        <w:numPr>
          <w:ilvl w:val="0"/>
          <w:numId w:val="3"/>
        </w:numPr>
        <w:spacing w:after="2"/>
        <w:ind w:hanging="360"/>
      </w:pPr>
      <w:r w:rsidRPr="00CA110F">
        <w:rPr>
          <w:rFonts w:cs="Calibri"/>
        </w:rPr>
        <w:t>Stopień ochrony min. IP20</w:t>
      </w:r>
    </w:p>
    <w:p w:rsidR="00764625" w:rsidRPr="00CA110F" w:rsidRDefault="00764625">
      <w:pPr>
        <w:numPr>
          <w:ilvl w:val="0"/>
          <w:numId w:val="3"/>
        </w:numPr>
        <w:spacing w:after="2"/>
        <w:ind w:hanging="360"/>
      </w:pPr>
      <w:r w:rsidRPr="00CA110F">
        <w:rPr>
          <w:rFonts w:cs="Calibri"/>
        </w:rPr>
        <w:t>Głośność: ≤ 65dB.</w:t>
      </w:r>
    </w:p>
    <w:p w:rsidR="00764625" w:rsidRPr="00CA110F" w:rsidRDefault="00764625">
      <w:pPr>
        <w:numPr>
          <w:ilvl w:val="0"/>
          <w:numId w:val="3"/>
        </w:numPr>
        <w:spacing w:after="2"/>
        <w:ind w:hanging="360"/>
      </w:pPr>
      <w:r w:rsidRPr="00CA110F">
        <w:rPr>
          <w:rFonts w:cs="Calibri"/>
        </w:rPr>
        <w:t>Temperatura otoczenia: -10⁰C  ~ +40⁰C,</w:t>
      </w:r>
    </w:p>
    <w:p w:rsidR="00764625" w:rsidRPr="00CA110F" w:rsidRDefault="00764625">
      <w:pPr>
        <w:numPr>
          <w:ilvl w:val="0"/>
          <w:numId w:val="3"/>
        </w:numPr>
        <w:spacing w:after="2"/>
        <w:ind w:hanging="360"/>
      </w:pPr>
      <w:r w:rsidRPr="00CA110F">
        <w:rPr>
          <w:rFonts w:cs="Calibri"/>
        </w:rPr>
        <w:t>Wilgotność względna: 5%  ~ 95%.</w:t>
      </w:r>
    </w:p>
    <w:p w:rsidR="003D2929" w:rsidRPr="00CA110F" w:rsidRDefault="00681C5E">
      <w:pPr>
        <w:numPr>
          <w:ilvl w:val="0"/>
          <w:numId w:val="3"/>
        </w:numPr>
        <w:spacing w:after="0"/>
        <w:ind w:hanging="360"/>
      </w:pPr>
      <w:r w:rsidRPr="00CA110F">
        <w:t>M</w:t>
      </w:r>
      <w:r w:rsidR="00764625" w:rsidRPr="00CA110F">
        <w:t>oc dobranej baterii uwzględnia 2</w:t>
      </w:r>
      <w:r w:rsidRPr="00CA110F">
        <w:t xml:space="preserve">0% ewentualny wzrost obciążenia pojemnościowego. </w:t>
      </w:r>
    </w:p>
    <w:p w:rsidR="003D2929" w:rsidRPr="00CA110F" w:rsidRDefault="00681C5E">
      <w:pPr>
        <w:numPr>
          <w:ilvl w:val="0"/>
          <w:numId w:val="3"/>
        </w:numPr>
        <w:spacing w:after="2" w:line="259" w:lineRule="auto"/>
        <w:ind w:hanging="360"/>
      </w:pPr>
      <w:r w:rsidRPr="00CA110F">
        <w:t xml:space="preserve">Automatyczna wentylacja - termostat + wentylatory. </w:t>
      </w:r>
    </w:p>
    <w:p w:rsidR="003D2929" w:rsidRPr="00CA110F" w:rsidRDefault="00681C5E">
      <w:pPr>
        <w:spacing w:after="124" w:line="259" w:lineRule="auto"/>
        <w:ind w:left="427" w:firstLine="0"/>
        <w:jc w:val="left"/>
      </w:pPr>
      <w:r w:rsidRPr="00CA110F">
        <w:t xml:space="preserve"> </w:t>
      </w:r>
    </w:p>
    <w:p w:rsidR="003D2929" w:rsidRPr="00CA110F" w:rsidRDefault="00681C5E">
      <w:pPr>
        <w:spacing w:after="104" w:line="259" w:lineRule="auto"/>
        <w:ind w:left="0" w:firstLine="0"/>
        <w:jc w:val="left"/>
      </w:pPr>
      <w:r w:rsidRPr="00CA110F">
        <w:rPr>
          <w:b/>
        </w:rPr>
        <w:t>IV.</w:t>
      </w:r>
      <w:r w:rsidRPr="00CA110F">
        <w:rPr>
          <w:rFonts w:eastAsia="Arial" w:cs="Arial"/>
          <w:b/>
        </w:rPr>
        <w:t xml:space="preserve"> </w:t>
      </w:r>
      <w:r w:rsidRPr="00CA110F">
        <w:rPr>
          <w:b/>
        </w:rPr>
        <w:t xml:space="preserve">UWAGI: </w:t>
      </w:r>
    </w:p>
    <w:p w:rsidR="003D2929" w:rsidRPr="00CA110F" w:rsidRDefault="00681C5E">
      <w:pPr>
        <w:ind w:left="355"/>
      </w:pPr>
      <w:r w:rsidRPr="00CA110F">
        <w:t>1.</w:t>
      </w:r>
      <w:r w:rsidRPr="00CA110F">
        <w:rPr>
          <w:rFonts w:eastAsia="Arial" w:cs="Arial"/>
        </w:rPr>
        <w:t xml:space="preserve"> </w:t>
      </w:r>
      <w:r w:rsidRPr="00CA110F">
        <w:t xml:space="preserve">Montaż urządzenia można wykonywać w następujących godzinach:  </w:t>
      </w:r>
    </w:p>
    <w:p w:rsidR="003D2929" w:rsidRPr="00CA110F" w:rsidRDefault="00681C5E">
      <w:pPr>
        <w:ind w:left="1440" w:hanging="360"/>
      </w:pPr>
      <w:r w:rsidRPr="00CA110F">
        <w:rPr>
          <w:rFonts w:eastAsia="Segoe UI Symbol" w:cs="Segoe UI Symbol"/>
        </w:rPr>
        <w:t>−</w:t>
      </w:r>
      <w:r w:rsidRPr="00CA110F">
        <w:rPr>
          <w:rFonts w:eastAsia="Arial" w:cs="Arial"/>
        </w:rPr>
        <w:t xml:space="preserve"> </w:t>
      </w:r>
      <w:r w:rsidRPr="00CA110F">
        <w:rPr>
          <w:b/>
        </w:rPr>
        <w:t>7.30 – 15.30</w:t>
      </w:r>
      <w:r w:rsidRPr="00CA110F">
        <w:t xml:space="preserve"> – wszystkie roboty nieuciążliwe dla pracowników urzędu oraz niepowodujące zakłócenia pracy; </w:t>
      </w:r>
    </w:p>
    <w:p w:rsidR="003D2929" w:rsidRPr="00CA110F" w:rsidRDefault="00681C5E">
      <w:pPr>
        <w:spacing w:after="5"/>
        <w:ind w:left="1440" w:hanging="360"/>
      </w:pPr>
      <w:r w:rsidRPr="00CA110F">
        <w:rPr>
          <w:rFonts w:eastAsia="Segoe UI Symbol" w:cs="Segoe UI Symbol"/>
        </w:rPr>
        <w:t>−</w:t>
      </w:r>
      <w:r w:rsidRPr="00CA110F">
        <w:rPr>
          <w:rFonts w:eastAsia="Arial" w:cs="Arial"/>
        </w:rPr>
        <w:t xml:space="preserve"> </w:t>
      </w:r>
      <w:r w:rsidRPr="00CA110F">
        <w:rPr>
          <w:b/>
        </w:rPr>
        <w:t xml:space="preserve">po godzinie 15.30 </w:t>
      </w:r>
      <w:r w:rsidRPr="00CA110F">
        <w:t xml:space="preserve">– roboty uciążliwe np. wyłączenia napięcia i hałaśliwe, brudzące np. kucia </w:t>
      </w:r>
    </w:p>
    <w:p w:rsidR="003D2929" w:rsidRPr="00CA110F" w:rsidRDefault="00681C5E">
      <w:pPr>
        <w:spacing w:after="194" w:line="259" w:lineRule="auto"/>
        <w:ind w:left="360" w:firstLine="0"/>
        <w:jc w:val="left"/>
      </w:pPr>
      <w:r w:rsidRPr="00CA110F">
        <w:rPr>
          <w:b/>
          <w:u w:val="single" w:color="000000"/>
        </w:rPr>
        <w:t>Wyłączenia napięcia nale</w:t>
      </w:r>
      <w:r w:rsidR="00E5614A">
        <w:rPr>
          <w:b/>
          <w:u w:val="single" w:color="000000"/>
        </w:rPr>
        <w:t>ży zgłaszać Zamawiającemu min. 3</w:t>
      </w:r>
      <w:r w:rsidRPr="00CA110F">
        <w:rPr>
          <w:b/>
          <w:u w:val="single" w:color="000000"/>
        </w:rPr>
        <w:t xml:space="preserve"> dni przed ich realizacją!</w:t>
      </w:r>
      <w:r w:rsidRPr="00CA110F">
        <w:rPr>
          <w:b/>
        </w:rPr>
        <w:t xml:space="preserve"> </w:t>
      </w:r>
    </w:p>
    <w:p w:rsidR="003D2929" w:rsidRPr="00CA110F" w:rsidRDefault="00681C5E">
      <w:pPr>
        <w:spacing w:after="0" w:line="259" w:lineRule="auto"/>
        <w:ind w:left="0" w:firstLine="0"/>
        <w:jc w:val="left"/>
      </w:pPr>
      <w:r w:rsidRPr="00CA110F">
        <w:rPr>
          <w:sz w:val="24"/>
        </w:rPr>
        <w:t xml:space="preserve">  </w:t>
      </w:r>
      <w:r w:rsidR="00917395">
        <w:rPr>
          <w:sz w:val="24"/>
        </w:rPr>
        <w:t xml:space="preserve">Termin realizacji 9 tygodni od podpisania umowy. </w:t>
      </w:r>
    </w:p>
    <w:sectPr w:rsidR="003D2929" w:rsidRPr="00CA110F">
      <w:pgSz w:w="11906" w:h="16838"/>
      <w:pgMar w:top="1455" w:right="1413" w:bottom="188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4006"/>
    <w:multiLevelType w:val="hybridMultilevel"/>
    <w:tmpl w:val="D0725BAC"/>
    <w:lvl w:ilvl="0" w:tplc="42CACD3A">
      <w:start w:val="1"/>
      <w:numFmt w:val="decimal"/>
      <w:lvlText w:val="%1."/>
      <w:lvlJc w:val="left"/>
      <w:pPr>
        <w:ind w:left="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A1E7CBA">
      <w:start w:val="1"/>
      <w:numFmt w:val="lowerLetter"/>
      <w:lvlText w:val="%2"/>
      <w:lvlJc w:val="left"/>
      <w:pPr>
        <w:ind w:left="14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2F8D3FE">
      <w:start w:val="1"/>
      <w:numFmt w:val="lowerRoman"/>
      <w:lvlText w:val="%3"/>
      <w:lvlJc w:val="left"/>
      <w:pPr>
        <w:ind w:left="21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814C730">
      <w:start w:val="1"/>
      <w:numFmt w:val="decimal"/>
      <w:lvlText w:val="%4"/>
      <w:lvlJc w:val="left"/>
      <w:pPr>
        <w:ind w:left="28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20F1A6">
      <w:start w:val="1"/>
      <w:numFmt w:val="lowerLetter"/>
      <w:lvlText w:val="%5"/>
      <w:lvlJc w:val="left"/>
      <w:pPr>
        <w:ind w:left="35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F2AD1E2">
      <w:start w:val="1"/>
      <w:numFmt w:val="lowerRoman"/>
      <w:lvlText w:val="%6"/>
      <w:lvlJc w:val="left"/>
      <w:pPr>
        <w:ind w:left="43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2E8CA38">
      <w:start w:val="1"/>
      <w:numFmt w:val="decimal"/>
      <w:lvlText w:val="%7"/>
      <w:lvlJc w:val="left"/>
      <w:pPr>
        <w:ind w:left="50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C0F37A">
      <w:start w:val="1"/>
      <w:numFmt w:val="lowerLetter"/>
      <w:lvlText w:val="%8"/>
      <w:lvlJc w:val="left"/>
      <w:pPr>
        <w:ind w:left="57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48D96E">
      <w:start w:val="1"/>
      <w:numFmt w:val="lowerRoman"/>
      <w:lvlText w:val="%9"/>
      <w:lvlJc w:val="left"/>
      <w:pPr>
        <w:ind w:left="64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4F24672C"/>
    <w:multiLevelType w:val="hybridMultilevel"/>
    <w:tmpl w:val="AC9EDDB8"/>
    <w:lvl w:ilvl="0" w:tplc="951E347E">
      <w:start w:val="1"/>
      <w:numFmt w:val="lowerLetter"/>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A0C92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A34360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3A038B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9EB0B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2CE7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086BB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C7C3C4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2A535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7AE86ECE"/>
    <w:multiLevelType w:val="hybridMultilevel"/>
    <w:tmpl w:val="40AC5EBA"/>
    <w:lvl w:ilvl="0" w:tplc="7AFA2C20">
      <w:start w:val="1"/>
      <w:numFmt w:val="decimal"/>
      <w:lvlText w:val="%1."/>
      <w:lvlJc w:val="left"/>
      <w:pPr>
        <w:ind w:left="4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29E8462">
      <w:start w:val="1"/>
      <w:numFmt w:val="lowerLetter"/>
      <w:lvlText w:val="%2"/>
      <w:lvlJc w:val="left"/>
      <w:pPr>
        <w:ind w:left="11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1684B2">
      <w:start w:val="1"/>
      <w:numFmt w:val="lowerRoman"/>
      <w:lvlText w:val="%3"/>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BAC812C">
      <w:start w:val="1"/>
      <w:numFmt w:val="decimal"/>
      <w:lvlText w:val="%4"/>
      <w:lvlJc w:val="left"/>
      <w:pPr>
        <w:ind w:left="25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B605852">
      <w:start w:val="1"/>
      <w:numFmt w:val="lowerLetter"/>
      <w:lvlText w:val="%5"/>
      <w:lvlJc w:val="left"/>
      <w:pPr>
        <w:ind w:left="33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FC20C02">
      <w:start w:val="1"/>
      <w:numFmt w:val="lowerRoman"/>
      <w:lvlText w:val="%6"/>
      <w:lvlJc w:val="left"/>
      <w:pPr>
        <w:ind w:left="4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2FAE956">
      <w:start w:val="1"/>
      <w:numFmt w:val="decimal"/>
      <w:lvlText w:val="%7"/>
      <w:lvlJc w:val="left"/>
      <w:pPr>
        <w:ind w:left="4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B0CB60E">
      <w:start w:val="1"/>
      <w:numFmt w:val="lowerLetter"/>
      <w:lvlText w:val="%8"/>
      <w:lvlJc w:val="left"/>
      <w:pPr>
        <w:ind w:left="5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57CA168">
      <w:start w:val="1"/>
      <w:numFmt w:val="lowerRoman"/>
      <w:lvlText w:val="%9"/>
      <w:lvlJc w:val="left"/>
      <w:pPr>
        <w:ind w:left="6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29"/>
    <w:rsid w:val="0000688D"/>
    <w:rsid w:val="000324D2"/>
    <w:rsid w:val="00055823"/>
    <w:rsid w:val="000B528E"/>
    <w:rsid w:val="0013298D"/>
    <w:rsid w:val="00165BF5"/>
    <w:rsid w:val="00254F6C"/>
    <w:rsid w:val="003D2929"/>
    <w:rsid w:val="004A16DA"/>
    <w:rsid w:val="00681C5E"/>
    <w:rsid w:val="00764625"/>
    <w:rsid w:val="00796179"/>
    <w:rsid w:val="00833D80"/>
    <w:rsid w:val="008F2C47"/>
    <w:rsid w:val="00917395"/>
    <w:rsid w:val="009456CB"/>
    <w:rsid w:val="00A47C15"/>
    <w:rsid w:val="00A84DF5"/>
    <w:rsid w:val="00CA110F"/>
    <w:rsid w:val="00E5614A"/>
    <w:rsid w:val="00E73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5" w:line="267" w:lineRule="auto"/>
      <w:ind w:left="10" w:hanging="10"/>
      <w:jc w:val="both"/>
    </w:pPr>
    <w:rPr>
      <w:rFonts w:ascii="Cambria" w:eastAsia="Cambria" w:hAnsi="Cambria" w:cs="Cambria"/>
      <w:color w:val="000000"/>
    </w:rPr>
  </w:style>
  <w:style w:type="paragraph" w:styleId="Nagwek1">
    <w:name w:val="heading 1"/>
    <w:next w:val="Normalny"/>
    <w:link w:val="Nagwek1Znak"/>
    <w:uiPriority w:val="9"/>
    <w:unhideWhenUsed/>
    <w:qFormat/>
    <w:pPr>
      <w:keepNext/>
      <w:keepLines/>
      <w:spacing w:after="101"/>
      <w:ind w:left="10" w:hanging="10"/>
      <w:outlineLvl w:val="0"/>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2"/>
    </w:rPr>
  </w:style>
  <w:style w:type="paragraph" w:styleId="Akapitzlist">
    <w:name w:val="List Paragraph"/>
    <w:basedOn w:val="Normalny"/>
    <w:uiPriority w:val="34"/>
    <w:qFormat/>
    <w:rsid w:val="00254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5" w:line="267" w:lineRule="auto"/>
      <w:ind w:left="10" w:hanging="10"/>
      <w:jc w:val="both"/>
    </w:pPr>
    <w:rPr>
      <w:rFonts w:ascii="Cambria" w:eastAsia="Cambria" w:hAnsi="Cambria" w:cs="Cambria"/>
      <w:color w:val="000000"/>
    </w:rPr>
  </w:style>
  <w:style w:type="paragraph" w:styleId="Nagwek1">
    <w:name w:val="heading 1"/>
    <w:next w:val="Normalny"/>
    <w:link w:val="Nagwek1Znak"/>
    <w:uiPriority w:val="9"/>
    <w:unhideWhenUsed/>
    <w:qFormat/>
    <w:pPr>
      <w:keepNext/>
      <w:keepLines/>
      <w:spacing w:after="101"/>
      <w:ind w:left="10" w:hanging="10"/>
      <w:outlineLvl w:val="0"/>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2"/>
    </w:rPr>
  </w:style>
  <w:style w:type="paragraph" w:styleId="Akapitzlist">
    <w:name w:val="List Paragraph"/>
    <w:basedOn w:val="Normalny"/>
    <w:uiPriority w:val="34"/>
    <w:qFormat/>
    <w:rsid w:val="00254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805</Words>
  <Characters>4831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Snioch</dc:creator>
  <cp:lastModifiedBy>Szwajnoch, Sebastian</cp:lastModifiedBy>
  <cp:revision>8</cp:revision>
  <dcterms:created xsi:type="dcterms:W3CDTF">2021-06-17T09:16:00Z</dcterms:created>
  <dcterms:modified xsi:type="dcterms:W3CDTF">2021-07-01T10:28:00Z</dcterms:modified>
</cp:coreProperties>
</file>