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0E22F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2DD18AEA" wp14:editId="5ACB07F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20EF2" w14:textId="21028162" w:rsidR="007E62A9" w:rsidRDefault="00E04145" w:rsidP="000109B8">
      <w:pPr>
        <w:tabs>
          <w:tab w:val="right" w:pos="9070"/>
        </w:tabs>
        <w:rPr>
          <w:szCs w:val="20"/>
          <w:lang w:eastAsia="pl-PL"/>
        </w:rPr>
      </w:pPr>
      <w:r w:rsidRPr="006863FE">
        <w:t>GM-</w:t>
      </w:r>
      <w:r w:rsidR="004D340B">
        <w:t>II</w:t>
      </w:r>
      <w:r w:rsidRPr="006863FE">
        <w:t>I.0003.</w:t>
      </w:r>
      <w:r w:rsidR="007F1AA1">
        <w:t>1</w:t>
      </w:r>
      <w:r w:rsidR="009C2451">
        <w:t>5</w:t>
      </w:r>
      <w:r w:rsidRPr="006863FE">
        <w:t>.</w:t>
      </w:r>
      <w:r>
        <w:t>1.2021</w:t>
      </w:r>
      <w:r w:rsidR="00731F66">
        <w:rPr>
          <w:szCs w:val="20"/>
          <w:lang w:eastAsia="pl-PL"/>
        </w:rPr>
        <w:tab/>
      </w:r>
      <w:r w:rsidR="005D6690">
        <w:rPr>
          <w:szCs w:val="20"/>
          <w:lang w:eastAsia="pl-PL"/>
        </w:rPr>
        <w:t xml:space="preserve">Kielce, </w:t>
      </w:r>
      <w:r w:rsidR="007F1AA1">
        <w:rPr>
          <w:szCs w:val="20"/>
          <w:lang w:eastAsia="pl-PL"/>
        </w:rPr>
        <w:t>1</w:t>
      </w:r>
      <w:r w:rsidR="00730482">
        <w:rPr>
          <w:szCs w:val="20"/>
          <w:lang w:eastAsia="pl-PL"/>
        </w:rPr>
        <w:t>8</w:t>
      </w:r>
      <w:r w:rsidR="007F1AA1">
        <w:rPr>
          <w:szCs w:val="20"/>
          <w:lang w:eastAsia="pl-PL"/>
        </w:rPr>
        <w:t xml:space="preserve"> marca</w:t>
      </w:r>
      <w:r w:rsidR="005D6690">
        <w:rPr>
          <w:szCs w:val="20"/>
          <w:lang w:eastAsia="pl-PL"/>
        </w:rPr>
        <w:t xml:space="preserve"> 202</w:t>
      </w:r>
      <w:r>
        <w:rPr>
          <w:szCs w:val="20"/>
          <w:lang w:eastAsia="pl-PL"/>
        </w:rPr>
        <w:t>1</w:t>
      </w:r>
      <w:r w:rsidR="00DC00BB">
        <w:rPr>
          <w:szCs w:val="20"/>
          <w:lang w:eastAsia="pl-PL"/>
        </w:rPr>
        <w:t xml:space="preserve"> </w:t>
      </w:r>
      <w:r w:rsidR="007F1AA1">
        <w:rPr>
          <w:szCs w:val="20"/>
          <w:lang w:eastAsia="pl-PL"/>
        </w:rPr>
        <w:t>r.</w:t>
      </w:r>
    </w:p>
    <w:p w14:paraId="1DF44D02" w14:textId="77777777" w:rsidR="00385633" w:rsidRDefault="00385633" w:rsidP="000109B8">
      <w:pPr>
        <w:tabs>
          <w:tab w:val="right" w:pos="9070"/>
        </w:tabs>
        <w:rPr>
          <w:szCs w:val="20"/>
          <w:lang w:eastAsia="pl-PL"/>
        </w:rPr>
      </w:pPr>
    </w:p>
    <w:p w14:paraId="403AF934" w14:textId="77777777" w:rsidR="00DE78AB" w:rsidRDefault="00DE78AB" w:rsidP="000109B8">
      <w:pPr>
        <w:tabs>
          <w:tab w:val="right" w:pos="9070"/>
        </w:tabs>
        <w:rPr>
          <w:szCs w:val="20"/>
          <w:lang w:eastAsia="pl-PL"/>
        </w:rPr>
      </w:pPr>
    </w:p>
    <w:p w14:paraId="31771190" w14:textId="77777777" w:rsidR="00731F66" w:rsidRDefault="00E04145" w:rsidP="000109B8">
      <w:pPr>
        <w:rPr>
          <w:b/>
        </w:rPr>
      </w:pPr>
      <w:r>
        <w:rPr>
          <w:b/>
        </w:rPr>
        <w:t>Pani</w:t>
      </w:r>
      <w:r w:rsidR="002F1285">
        <w:rPr>
          <w:b/>
        </w:rPr>
        <w:br/>
      </w:r>
      <w:r>
        <w:rPr>
          <w:b/>
        </w:rPr>
        <w:t>Elżbieta Śreniawska</w:t>
      </w:r>
      <w:r>
        <w:rPr>
          <w:b/>
        </w:rPr>
        <w:br/>
        <w:t>Radna Województwa Świętokrzyskiego</w:t>
      </w:r>
    </w:p>
    <w:p w14:paraId="3FE99AB4" w14:textId="77777777" w:rsidR="00E04145" w:rsidRDefault="00E04145" w:rsidP="000109B8"/>
    <w:p w14:paraId="7FE0B99D" w14:textId="4697036A" w:rsidR="00BC093F" w:rsidRPr="002F1285" w:rsidRDefault="00BC093F" w:rsidP="002F1285">
      <w:pPr>
        <w:pStyle w:val="Tytu"/>
      </w:pPr>
      <w:r w:rsidRPr="002F1285">
        <w:t>Dotyczy:</w:t>
      </w:r>
      <w:r w:rsidR="00B00810" w:rsidRPr="002F1285">
        <w:t xml:space="preserve"> odpowiedź na interpelację </w:t>
      </w:r>
      <w:r w:rsidR="00C3420D">
        <w:t>złożoną</w:t>
      </w:r>
      <w:r w:rsidR="00B00810" w:rsidRPr="002F1285">
        <w:t xml:space="preserve"> w dniu </w:t>
      </w:r>
      <w:r w:rsidR="009C2451">
        <w:t>9</w:t>
      </w:r>
      <w:r w:rsidR="00D966DB">
        <w:t xml:space="preserve"> marca</w:t>
      </w:r>
      <w:r w:rsidR="00B00810" w:rsidRPr="002F1285">
        <w:t xml:space="preserve"> 2021 r.</w:t>
      </w:r>
    </w:p>
    <w:p w14:paraId="384EDA39" w14:textId="77777777" w:rsidR="00DE78AB" w:rsidRDefault="00DE78AB" w:rsidP="000109B8">
      <w:pPr>
        <w:jc w:val="both"/>
      </w:pPr>
    </w:p>
    <w:p w14:paraId="44167E45" w14:textId="77777777" w:rsidR="00E04145" w:rsidRPr="005C7727" w:rsidRDefault="00E04145" w:rsidP="00E04145">
      <w:pPr>
        <w:jc w:val="both"/>
        <w:rPr>
          <w:i/>
          <w:iCs/>
        </w:rPr>
      </w:pPr>
      <w:r w:rsidRPr="005C7727">
        <w:rPr>
          <w:i/>
          <w:iCs/>
        </w:rPr>
        <w:t>Szanowna Pani Radna,</w:t>
      </w:r>
    </w:p>
    <w:p w14:paraId="6FAB976D" w14:textId="3D976158" w:rsidR="00641EA2" w:rsidRPr="00A7113A" w:rsidRDefault="00641EA2" w:rsidP="00282C04">
      <w:pPr>
        <w:jc w:val="both"/>
        <w:rPr>
          <w:bCs/>
          <w:i/>
          <w:szCs w:val="22"/>
        </w:rPr>
      </w:pPr>
      <w:r>
        <w:t xml:space="preserve">odpowiadając na Pani interpelację dotyczącą sposobu realizacji przewozów przez jednego </w:t>
      </w:r>
      <w:r>
        <w:br/>
        <w:t>z przewoźników, któremu Marszałek Województwa wydał zezwolenie na wykonywanie regularnych przewozów w krajowym transporcie drogowym osób</w:t>
      </w:r>
      <w:r w:rsidR="00773363">
        <w:t>,</w:t>
      </w:r>
      <w:r>
        <w:t xml:space="preserve">  uprzejmie informuję, że zgodnie z </w:t>
      </w:r>
      <w:r w:rsidRPr="00A7113A">
        <w:rPr>
          <w:bCs/>
          <w:szCs w:val="22"/>
        </w:rPr>
        <w:t>art.15n ustawy z dnia 2 marca 2020 r. o</w:t>
      </w:r>
      <w:r>
        <w:rPr>
          <w:bCs/>
          <w:szCs w:val="22"/>
        </w:rPr>
        <w:t> </w:t>
      </w:r>
      <w:r w:rsidRPr="00A7113A">
        <w:rPr>
          <w:bCs/>
          <w:szCs w:val="22"/>
        </w:rPr>
        <w:t xml:space="preserve">szczególnych rozwiązaniach związanych </w:t>
      </w:r>
      <w:r w:rsidR="00282C04">
        <w:rPr>
          <w:bCs/>
          <w:szCs w:val="22"/>
        </w:rPr>
        <w:br/>
      </w:r>
      <w:r w:rsidRPr="00A7113A">
        <w:rPr>
          <w:bCs/>
          <w:szCs w:val="22"/>
        </w:rPr>
        <w:t>z zapobieganiem, przeciwdziałaniem i zwalczaniem COVID 19, innych chorób zakaźnych oraz wywołanych nimi sytuacji kryzysowych (Dz.</w:t>
      </w:r>
      <w:r w:rsidR="00773363">
        <w:rPr>
          <w:bCs/>
          <w:szCs w:val="22"/>
        </w:rPr>
        <w:t xml:space="preserve"> </w:t>
      </w:r>
      <w:r w:rsidRPr="00A7113A">
        <w:rPr>
          <w:bCs/>
          <w:szCs w:val="22"/>
        </w:rPr>
        <w:t>U.2020.1842 tj.)</w:t>
      </w:r>
      <w:r>
        <w:rPr>
          <w:bCs/>
          <w:szCs w:val="22"/>
        </w:rPr>
        <w:t xml:space="preserve"> </w:t>
      </w:r>
      <w:r w:rsidRPr="00A7113A">
        <w:rPr>
          <w:bCs/>
          <w:szCs w:val="22"/>
        </w:rPr>
        <w:t>,,</w:t>
      </w:r>
      <w:r w:rsidRPr="00A7113A">
        <w:rPr>
          <w:bCs/>
          <w:i/>
          <w:szCs w:val="22"/>
        </w:rPr>
        <w:t xml:space="preserve">Warunków określonych </w:t>
      </w:r>
      <w:r w:rsidR="00282C04">
        <w:rPr>
          <w:bCs/>
          <w:i/>
          <w:szCs w:val="22"/>
        </w:rPr>
        <w:br/>
      </w:r>
      <w:r w:rsidRPr="00A7113A">
        <w:rPr>
          <w:bCs/>
          <w:i/>
          <w:szCs w:val="22"/>
        </w:rPr>
        <w:t>w zezwoleniu,</w:t>
      </w:r>
      <w:r>
        <w:rPr>
          <w:bCs/>
          <w:i/>
          <w:szCs w:val="22"/>
        </w:rPr>
        <w:t xml:space="preserve"> </w:t>
      </w:r>
      <w:r w:rsidRPr="00A7113A">
        <w:rPr>
          <w:bCs/>
          <w:i/>
          <w:szCs w:val="22"/>
        </w:rPr>
        <w:t>o którym mowa w art. 18 ust. 1 ustawy z dnia 6 września 2001r. o transporcie drogowym, nie stosuje się w przypadku:</w:t>
      </w:r>
    </w:p>
    <w:p w14:paraId="7CEB1C0C" w14:textId="77777777" w:rsidR="00282C04" w:rsidRDefault="00641EA2" w:rsidP="00282C04">
      <w:pPr>
        <w:pStyle w:val="Akapitzlist"/>
        <w:numPr>
          <w:ilvl w:val="0"/>
          <w:numId w:val="1"/>
        </w:numPr>
        <w:ind w:left="567" w:hanging="283"/>
        <w:jc w:val="both"/>
        <w:rPr>
          <w:bCs/>
          <w:i/>
          <w:szCs w:val="22"/>
        </w:rPr>
      </w:pPr>
      <w:r w:rsidRPr="00282C04">
        <w:rPr>
          <w:bCs/>
          <w:i/>
          <w:szCs w:val="22"/>
        </w:rPr>
        <w:t>konieczności podjęcia czynności związanych z przeciwdziałaniem COVID-19;</w:t>
      </w:r>
    </w:p>
    <w:p w14:paraId="4FE05142" w14:textId="1360A01C" w:rsidR="00641EA2" w:rsidRPr="00282C04" w:rsidRDefault="00641EA2" w:rsidP="00282C04">
      <w:pPr>
        <w:pStyle w:val="Akapitzlist"/>
        <w:numPr>
          <w:ilvl w:val="0"/>
          <w:numId w:val="1"/>
        </w:numPr>
        <w:ind w:left="567" w:hanging="283"/>
        <w:jc w:val="both"/>
        <w:rPr>
          <w:bCs/>
          <w:i/>
          <w:szCs w:val="22"/>
        </w:rPr>
      </w:pPr>
      <w:r w:rsidRPr="00282C04">
        <w:rPr>
          <w:bCs/>
          <w:i/>
          <w:szCs w:val="22"/>
        </w:rPr>
        <w:t>braku rentowności wykonywanych przewozów, będącego skutkiem niezależnych od przedsiębiorcy okoliczności, związanych z przeciwdziałaniem COVID-19.”</w:t>
      </w:r>
    </w:p>
    <w:p w14:paraId="6B9A2B0A" w14:textId="77777777" w:rsidR="00641EA2" w:rsidRDefault="00641EA2" w:rsidP="00DB7A5A">
      <w:pPr>
        <w:spacing w:before="120"/>
        <w:jc w:val="both"/>
      </w:pPr>
      <w:r>
        <w:rPr>
          <w:bCs/>
          <w:iCs/>
          <w:szCs w:val="22"/>
        </w:rPr>
        <w:t xml:space="preserve">W przypadku stosowania przez przewoźników innych ,,odstępstw”, odbiegających od wskazanych uregulowań ustawowych, organ każdorazowo podejmuje czynności wyjaśniające i zobowiązany jest do przeprowadzenia właściwego w danej sprawie postępowania administracyjnego, </w:t>
      </w:r>
      <w:r>
        <w:t>w trybie i na zasadach wynikających z ustawy z dnia 14 czerwca 1960 r. Kodeks postępowania administracyjnego.</w:t>
      </w:r>
    </w:p>
    <w:p w14:paraId="14720536" w14:textId="6D8F4059" w:rsidR="00641EA2" w:rsidRDefault="00641EA2" w:rsidP="00DB7A5A">
      <w:pPr>
        <w:spacing w:before="120"/>
        <w:jc w:val="both"/>
      </w:pPr>
      <w:r>
        <w:t>Tym samym, przedłożony przez Panią materiał zostanie wykorzystany przez organ do dokładnego zbadania i wyjaśnienia tej sprawy. Informuję jednak, że zgodnie z art. 28 ww</w:t>
      </w:r>
      <w:r w:rsidR="000E47D7">
        <w:t>.</w:t>
      </w:r>
      <w:r>
        <w:t xml:space="preserve"> ustawy, „</w:t>
      </w:r>
      <w:r w:rsidRPr="00EE4A88">
        <w:rPr>
          <w:i/>
          <w:iCs/>
        </w:rPr>
        <w:t>Stroną jest każdy, czyjego interesu prawnego lub obowiązku dotyczy postępowanie albo kto żąda czynności organu ze względu na swój interes prawny lub obowiązek</w:t>
      </w:r>
      <w:r>
        <w:t>”</w:t>
      </w:r>
      <w:r w:rsidRPr="00EE4A88">
        <w:rPr>
          <w:rFonts w:ascii="Open Sans" w:eastAsia="Times New Roman" w:hAnsi="Open Sans"/>
          <w:b/>
          <w:bCs/>
          <w:color w:val="333333"/>
          <w:shd w:val="clear" w:color="auto" w:fill="FFFFFF"/>
          <w:lang w:eastAsia="pl-PL"/>
        </w:rPr>
        <w:t xml:space="preserve"> </w:t>
      </w:r>
      <w:r w:rsidRPr="00EE4A88">
        <w:rPr>
          <w:rFonts w:eastAsia="Times New Roman"/>
          <w:color w:val="333333"/>
          <w:shd w:val="clear" w:color="auto" w:fill="FFFFFF"/>
          <w:lang w:eastAsia="pl-PL"/>
        </w:rPr>
        <w:t xml:space="preserve">zaś na </w:t>
      </w:r>
      <w:r w:rsidRPr="00EE4A88">
        <w:rPr>
          <w:rFonts w:eastAsia="Times New Roman"/>
          <w:color w:val="333333"/>
          <w:shd w:val="clear" w:color="auto" w:fill="FFFFFF"/>
          <w:lang w:eastAsia="pl-PL"/>
        </w:rPr>
        <w:lastRenderedPageBreak/>
        <w:t xml:space="preserve">gruncie </w:t>
      </w:r>
      <w:r>
        <w:t>a</w:t>
      </w:r>
      <w:r w:rsidRPr="00EE4A88">
        <w:t>rt.</w:t>
      </w:r>
      <w:r>
        <w:t xml:space="preserve"> </w:t>
      </w:r>
      <w:r w:rsidRPr="00EE4A88">
        <w:t>73 §1 „</w:t>
      </w:r>
      <w:r w:rsidRPr="00EE4A88">
        <w:rPr>
          <w:i/>
          <w:iCs/>
        </w:rPr>
        <w:t>Strona ma prawo wglądu w akta sprawy, sporządzania z nich notatek, kopii lub odpisów. Prawo to przysługuje również po zakończeniu postępowania</w:t>
      </w:r>
      <w:r w:rsidRPr="00EE4A88">
        <w:t>.</w:t>
      </w:r>
      <w:r>
        <w:t>”. Wobec powyższego organ nie może swobodnie udostępniać akt prowadzonych postępowań administracyjnych osobom, którym nie przysługuje przymiot Strony.</w:t>
      </w:r>
    </w:p>
    <w:p w14:paraId="753EB5B7" w14:textId="5AD1A4E4" w:rsidR="00641EA2" w:rsidRPr="00700A14" w:rsidRDefault="00641EA2" w:rsidP="00282C04">
      <w:pPr>
        <w:spacing w:before="120" w:after="120"/>
        <w:jc w:val="both"/>
        <w:rPr>
          <w:rFonts w:eastAsia="Calibri"/>
          <w:i/>
          <w:iCs/>
        </w:rPr>
      </w:pPr>
      <w:r w:rsidRPr="00700A14">
        <w:rPr>
          <w:rFonts w:eastAsia="Calibri"/>
        </w:rPr>
        <w:t>Ponadto, w związku z przywołaniem</w:t>
      </w:r>
      <w:r>
        <w:rPr>
          <w:rFonts w:eastAsia="Calibri"/>
          <w:i/>
          <w:iCs/>
        </w:rPr>
        <w:t xml:space="preserve"> </w:t>
      </w:r>
      <w:r>
        <w:rPr>
          <w:rFonts w:eastAsia="Calibri"/>
        </w:rPr>
        <w:t xml:space="preserve">art. 24 ust. 4 ustawy z dnia 6 września 2001 roku o transporcie drogowym, określającym warunki które tworzą podstawy do cofnięcia przez organ zezwolenia, </w:t>
      </w:r>
      <w:r w:rsidR="009856A9">
        <w:rPr>
          <w:rFonts w:eastAsia="Calibri"/>
        </w:rPr>
        <w:t xml:space="preserve">zasadnym jest </w:t>
      </w:r>
      <w:r>
        <w:rPr>
          <w:rFonts w:eastAsia="Calibri"/>
        </w:rPr>
        <w:t>odwoła</w:t>
      </w:r>
      <w:r w:rsidR="009856A9">
        <w:rPr>
          <w:rFonts w:eastAsia="Calibri"/>
        </w:rPr>
        <w:t>nie się w tym miejscu</w:t>
      </w:r>
      <w:r>
        <w:rPr>
          <w:rFonts w:eastAsia="Calibri"/>
        </w:rPr>
        <w:t xml:space="preserve"> do ugruntowanego, bogatego orzecznictwa sądowo-administracyjnego – za wyrokiem </w:t>
      </w:r>
      <w:r w:rsidRPr="00700A14">
        <w:rPr>
          <w:rFonts w:eastAsia="Calibri"/>
          <w:bCs/>
        </w:rPr>
        <w:t>Naczelnego Sądu Administracyjnego z dnia 11 sierpnia 2020 r.</w:t>
      </w:r>
      <w:r>
        <w:rPr>
          <w:rFonts w:eastAsia="Calibri"/>
          <w:bCs/>
        </w:rPr>
        <w:t xml:space="preserve"> sygn. akt </w:t>
      </w:r>
      <w:r w:rsidRPr="00700A14">
        <w:rPr>
          <w:rFonts w:eastAsia="Calibri"/>
          <w:bCs/>
        </w:rPr>
        <w:t>II GSK 543/20</w:t>
      </w:r>
      <w:r>
        <w:rPr>
          <w:rFonts w:eastAsia="Calibri"/>
          <w:bCs/>
        </w:rPr>
        <w:t xml:space="preserve"> </w:t>
      </w:r>
      <w:r w:rsidRPr="00700A14">
        <w:rPr>
          <w:rFonts w:eastAsia="Calibri"/>
          <w:i/>
          <w:iCs/>
        </w:rPr>
        <w:t>„Przed cofnięciem zezwolenia organ ma jedynie, stosownie do art. 90 pkt 1 u.t.d., obowiązek wezwania przewoźnika do usunięcia stwierdzonego naruszenia w</w:t>
      </w:r>
      <w:r>
        <w:rPr>
          <w:rFonts w:eastAsia="Calibri"/>
          <w:i/>
          <w:iCs/>
        </w:rPr>
        <w:t> </w:t>
      </w:r>
      <w:r w:rsidRPr="00700A14">
        <w:rPr>
          <w:rFonts w:eastAsia="Calibri"/>
          <w:i/>
          <w:iCs/>
        </w:rPr>
        <w:t xml:space="preserve">zakreślonym terminie. Uregulowanie tego przepisu, uzupełniające treść art. 24 ust. 4 pkt 2 u.t.d., ma na celu złagodzenie rygorów tego ostatnio wymienionego przepisu i danie przedsiębiorcy szansy na poprawę w wyznaczonym terminie. Tym samym ustawodawca dał wyraz temu, by z jednej strony przedsiębiorcy bezwzględnie przestrzegali warunków zezwoleń, a z drugiej strony, aby pochopnie nie pozbawiać ich prawa do prowadzenia działalności transportowej wymagającej zezwolenia. </w:t>
      </w:r>
      <w:r w:rsidRPr="00700A14">
        <w:rPr>
          <w:rFonts w:eastAsia="Calibri"/>
          <w:b/>
          <w:bCs/>
          <w:i/>
          <w:iCs/>
        </w:rPr>
        <w:t>Wezwanie przedsiębiorcy do usunięcia naruszeń w</w:t>
      </w:r>
      <w:r>
        <w:rPr>
          <w:rFonts w:eastAsia="Calibri"/>
          <w:b/>
          <w:bCs/>
          <w:i/>
          <w:iCs/>
        </w:rPr>
        <w:t> </w:t>
      </w:r>
      <w:r w:rsidRPr="00700A14">
        <w:rPr>
          <w:rFonts w:eastAsia="Calibri"/>
          <w:b/>
          <w:bCs/>
          <w:i/>
          <w:iCs/>
        </w:rPr>
        <w:t>określonym terminie jest więc obligatoryjnym etapem postępowania mającym na celu zdyscyplinowanie przedsiębiorcy.</w:t>
      </w:r>
      <w:r w:rsidRPr="00700A14">
        <w:rPr>
          <w:rFonts w:eastAsia="Calibri"/>
          <w:i/>
          <w:iCs/>
        </w:rPr>
        <w:t xml:space="preserve"> Ten etap postępowania musi być przeprowadzony przed cofnięciem zezwolenia i jego realizacja musi być ściśle przestrzegana (tak wyrok NSA z dnia 2 września 2008 r., II GSK 312/08, czy wyrok NSA z dnia 25 stycznia 2018 r., II GSK 1970/17)”</w:t>
      </w:r>
      <w:r>
        <w:rPr>
          <w:rFonts w:eastAsia="Calibri"/>
          <w:i/>
          <w:iCs/>
        </w:rPr>
        <w:t>.</w:t>
      </w:r>
    </w:p>
    <w:p w14:paraId="2DF6F46F" w14:textId="024130D8" w:rsidR="00B00810" w:rsidRDefault="00641EA2" w:rsidP="00DB7A5A">
      <w:pPr>
        <w:spacing w:before="120"/>
        <w:jc w:val="both"/>
      </w:pPr>
      <w:r>
        <w:t>Pomijając powyższe wyjaśnienia, po raz kolejny pragnę podnieść</w:t>
      </w:r>
      <w:r w:rsidR="0096765E">
        <w:t>,</w:t>
      </w:r>
      <w:r>
        <w:t xml:space="preserve"> że w ocenie tut. organu zapytania sformułowane w Pani interpelacji, w kontekście materiału dowodowego w postaci załączników, nie mieszczą się w granicach uprawnień wynikających z art. 23 ust.6 ustawy z dnia 18 czerwca 1998 roku o samorządzie województwa.  </w:t>
      </w:r>
    </w:p>
    <w:p w14:paraId="015E2D02" w14:textId="77777777" w:rsidR="00731F66" w:rsidRPr="00D43383" w:rsidRDefault="00731F66" w:rsidP="00046F70">
      <w:pPr>
        <w:spacing w:before="720"/>
        <w:ind w:left="284"/>
      </w:pPr>
      <w:r>
        <w:t>Z poważaniem</w:t>
      </w:r>
    </w:p>
    <w:p w14:paraId="14F14845" w14:textId="77777777" w:rsidR="009D4DBD" w:rsidRDefault="00E04145" w:rsidP="00E04145">
      <w:pPr>
        <w:ind w:left="284"/>
      </w:pPr>
      <w:r>
        <w:t>Andrzej Bętkowski</w:t>
      </w:r>
      <w:r>
        <w:br/>
        <w:t>Marszałek Województwa Świętokrzyskiego</w:t>
      </w:r>
    </w:p>
    <w:p w14:paraId="076E4ECC" w14:textId="77777777" w:rsidR="00B00810" w:rsidRDefault="00B00810" w:rsidP="00E04145">
      <w:pPr>
        <w:ind w:left="284"/>
      </w:pPr>
      <w:r>
        <w:rPr>
          <w:sz w:val="22"/>
          <w:szCs w:val="22"/>
        </w:rPr>
        <w:t>(</w:t>
      </w:r>
      <w:r w:rsidRPr="003D30A4">
        <w:rPr>
          <w:sz w:val="22"/>
          <w:szCs w:val="22"/>
        </w:rPr>
        <w:t>podpisano elektronicznie</w:t>
      </w:r>
      <w:r>
        <w:rPr>
          <w:sz w:val="22"/>
          <w:szCs w:val="22"/>
        </w:rPr>
        <w:t>)</w:t>
      </w:r>
    </w:p>
    <w:sectPr w:rsidR="00B00810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CA0F2" w14:textId="77777777" w:rsidR="008A6BBB" w:rsidRDefault="008A6BBB" w:rsidP="001D0CA1">
      <w:pPr>
        <w:spacing w:line="240" w:lineRule="auto"/>
      </w:pPr>
      <w:r>
        <w:separator/>
      </w:r>
    </w:p>
  </w:endnote>
  <w:endnote w:type="continuationSeparator" w:id="0">
    <w:p w14:paraId="264FC065" w14:textId="77777777" w:rsidR="008A6BBB" w:rsidRDefault="008A6BB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971AC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23BE0286" wp14:editId="4B7383F4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4177F" w14:textId="77777777" w:rsidR="008A6BBB" w:rsidRDefault="008A6BBB" w:rsidP="001D0CA1">
      <w:pPr>
        <w:spacing w:line="240" w:lineRule="auto"/>
      </w:pPr>
      <w:r>
        <w:separator/>
      </w:r>
    </w:p>
  </w:footnote>
  <w:footnote w:type="continuationSeparator" w:id="0">
    <w:p w14:paraId="154D51A6" w14:textId="77777777" w:rsidR="008A6BBB" w:rsidRDefault="008A6BB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277F5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37769"/>
    <w:multiLevelType w:val="hybridMultilevel"/>
    <w:tmpl w:val="0D4C5C80"/>
    <w:lvl w:ilvl="0" w:tplc="40D0C3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620071"/>
    <w:multiLevelType w:val="hybridMultilevel"/>
    <w:tmpl w:val="2C5AF4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46F70"/>
    <w:rsid w:val="00063AB0"/>
    <w:rsid w:val="00086B46"/>
    <w:rsid w:val="000872D0"/>
    <w:rsid w:val="00091B5E"/>
    <w:rsid w:val="000C6F51"/>
    <w:rsid w:val="000D7CA7"/>
    <w:rsid w:val="000E47D7"/>
    <w:rsid w:val="000E4F89"/>
    <w:rsid w:val="000F4A5C"/>
    <w:rsid w:val="00121649"/>
    <w:rsid w:val="00133EE2"/>
    <w:rsid w:val="0014343C"/>
    <w:rsid w:val="0017650D"/>
    <w:rsid w:val="001B3E1A"/>
    <w:rsid w:val="001D0CA1"/>
    <w:rsid w:val="001E2B43"/>
    <w:rsid w:val="001E5DA4"/>
    <w:rsid w:val="001F760A"/>
    <w:rsid w:val="002024CA"/>
    <w:rsid w:val="0021609E"/>
    <w:rsid w:val="002200B3"/>
    <w:rsid w:val="00221062"/>
    <w:rsid w:val="002328E1"/>
    <w:rsid w:val="002473DC"/>
    <w:rsid w:val="00282C04"/>
    <w:rsid w:val="00285B8C"/>
    <w:rsid w:val="002A1B27"/>
    <w:rsid w:val="002B4426"/>
    <w:rsid w:val="002C7FF6"/>
    <w:rsid w:val="002E0EDF"/>
    <w:rsid w:val="002F1285"/>
    <w:rsid w:val="00311398"/>
    <w:rsid w:val="00350808"/>
    <w:rsid w:val="00357403"/>
    <w:rsid w:val="0036181F"/>
    <w:rsid w:val="00375179"/>
    <w:rsid w:val="00385633"/>
    <w:rsid w:val="003B32BA"/>
    <w:rsid w:val="003E1BB7"/>
    <w:rsid w:val="0040136B"/>
    <w:rsid w:val="00431CE5"/>
    <w:rsid w:val="004732C3"/>
    <w:rsid w:val="00485CF4"/>
    <w:rsid w:val="004D340B"/>
    <w:rsid w:val="00504944"/>
    <w:rsid w:val="00506507"/>
    <w:rsid w:val="005143FB"/>
    <w:rsid w:val="005206E6"/>
    <w:rsid w:val="005475A0"/>
    <w:rsid w:val="005A4D8D"/>
    <w:rsid w:val="005C7727"/>
    <w:rsid w:val="005D6690"/>
    <w:rsid w:val="005F5879"/>
    <w:rsid w:val="00625E9E"/>
    <w:rsid w:val="0063758E"/>
    <w:rsid w:val="00641EA2"/>
    <w:rsid w:val="006646C6"/>
    <w:rsid w:val="00672331"/>
    <w:rsid w:val="00691E60"/>
    <w:rsid w:val="0069603A"/>
    <w:rsid w:val="006A19E1"/>
    <w:rsid w:val="006A73C8"/>
    <w:rsid w:val="006C75FC"/>
    <w:rsid w:val="006F1F68"/>
    <w:rsid w:val="00717118"/>
    <w:rsid w:val="00730482"/>
    <w:rsid w:val="00731F66"/>
    <w:rsid w:val="00773363"/>
    <w:rsid w:val="007A0E58"/>
    <w:rsid w:val="007A6F45"/>
    <w:rsid w:val="007B5969"/>
    <w:rsid w:val="007C34AE"/>
    <w:rsid w:val="007D1CF7"/>
    <w:rsid w:val="007E62A9"/>
    <w:rsid w:val="007F1AA1"/>
    <w:rsid w:val="008030EE"/>
    <w:rsid w:val="008238D5"/>
    <w:rsid w:val="00834DBF"/>
    <w:rsid w:val="0083668B"/>
    <w:rsid w:val="008712E5"/>
    <w:rsid w:val="008A6BBB"/>
    <w:rsid w:val="008E35BD"/>
    <w:rsid w:val="008F0448"/>
    <w:rsid w:val="009429B6"/>
    <w:rsid w:val="009606F5"/>
    <w:rsid w:val="0096765E"/>
    <w:rsid w:val="009856A9"/>
    <w:rsid w:val="009B5473"/>
    <w:rsid w:val="009C2451"/>
    <w:rsid w:val="009C4950"/>
    <w:rsid w:val="009D4DBD"/>
    <w:rsid w:val="00A045F0"/>
    <w:rsid w:val="00A0476C"/>
    <w:rsid w:val="00A33CE7"/>
    <w:rsid w:val="00A37D23"/>
    <w:rsid w:val="00A466E8"/>
    <w:rsid w:val="00A95134"/>
    <w:rsid w:val="00AA4E40"/>
    <w:rsid w:val="00AB2759"/>
    <w:rsid w:val="00AC7A3A"/>
    <w:rsid w:val="00AD3554"/>
    <w:rsid w:val="00AD5489"/>
    <w:rsid w:val="00AF7163"/>
    <w:rsid w:val="00B00810"/>
    <w:rsid w:val="00B25A10"/>
    <w:rsid w:val="00B32056"/>
    <w:rsid w:val="00B44079"/>
    <w:rsid w:val="00B47CFF"/>
    <w:rsid w:val="00B74111"/>
    <w:rsid w:val="00B75853"/>
    <w:rsid w:val="00B82F2E"/>
    <w:rsid w:val="00BA0EE9"/>
    <w:rsid w:val="00BC093F"/>
    <w:rsid w:val="00BE3B5B"/>
    <w:rsid w:val="00C06EEC"/>
    <w:rsid w:val="00C23A0D"/>
    <w:rsid w:val="00C3420D"/>
    <w:rsid w:val="00C469ED"/>
    <w:rsid w:val="00C46D30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433F4"/>
    <w:rsid w:val="00D51134"/>
    <w:rsid w:val="00D73BF3"/>
    <w:rsid w:val="00D80987"/>
    <w:rsid w:val="00D966DB"/>
    <w:rsid w:val="00D96C4C"/>
    <w:rsid w:val="00DB7A5A"/>
    <w:rsid w:val="00DC00BB"/>
    <w:rsid w:val="00DC1E5E"/>
    <w:rsid w:val="00DE6B3A"/>
    <w:rsid w:val="00DE78AB"/>
    <w:rsid w:val="00E04145"/>
    <w:rsid w:val="00E11703"/>
    <w:rsid w:val="00E21532"/>
    <w:rsid w:val="00E61334"/>
    <w:rsid w:val="00E94511"/>
    <w:rsid w:val="00EA45B8"/>
    <w:rsid w:val="00EA6F17"/>
    <w:rsid w:val="00F628EC"/>
    <w:rsid w:val="00F73274"/>
    <w:rsid w:val="00F77F3C"/>
    <w:rsid w:val="00F8113E"/>
    <w:rsid w:val="00F93A3B"/>
    <w:rsid w:val="00FC062C"/>
    <w:rsid w:val="00FD01D0"/>
    <w:rsid w:val="00F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F33A9"/>
  <w15:docId w15:val="{14222A96-C05A-40E6-AAA8-303CFC4C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2F1285"/>
    <w:pPr>
      <w:jc w:val="both"/>
    </w:pPr>
  </w:style>
  <w:style w:type="character" w:customStyle="1" w:styleId="TytuZnak">
    <w:name w:val="Tytuł Znak"/>
    <w:basedOn w:val="Domylnaczcionkaakapitu"/>
    <w:link w:val="Tytu"/>
    <w:uiPriority w:val="10"/>
    <w:rsid w:val="002F1285"/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2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2CA9-F041-4324-94DF-E0DFC4CE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z 26.02.2021 Marszałka Województwa Świętokrzyskiego na interpelację Radnej Województwa Świętokrzyskiego Elżbiety Śreniawskiej</vt:lpstr>
    </vt:vector>
  </TitlesOfParts>
  <Company>Urząd Marszałkowski Województwa Świętokrzyskiego w Kielcach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z 26.02.2021 Marszałka Województwa Świętokrzyskiego na interpelację Radnej Województwa Świętokrzyskiego Elżbiety Śreniawskiej</dc:title>
  <dc:creator>marszalek@sejmik.kielce.pl</dc:creator>
  <cp:lastModifiedBy>Drabik, Justyna</cp:lastModifiedBy>
  <cp:revision>2</cp:revision>
  <cp:lastPrinted>2021-02-26T09:34:00Z</cp:lastPrinted>
  <dcterms:created xsi:type="dcterms:W3CDTF">2021-03-22T09:26:00Z</dcterms:created>
  <dcterms:modified xsi:type="dcterms:W3CDTF">2021-03-22T09:26:00Z</dcterms:modified>
</cp:coreProperties>
</file>