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BA" w:rsidRPr="00793FBA" w:rsidRDefault="00793FBA" w:rsidP="00793FBA">
      <w:pPr>
        <w:pStyle w:val="Nagwek"/>
        <w:spacing w:line="360" w:lineRule="auto"/>
        <w:rPr>
          <w:rFonts w:asciiTheme="minorHAnsi" w:hAnsiTheme="minorHAnsi"/>
        </w:rPr>
      </w:pPr>
      <w:r w:rsidRPr="00793FBA">
        <w:rPr>
          <w:rFonts w:asciiTheme="minorHAnsi" w:hAnsiTheme="minorHAnsi"/>
        </w:rPr>
        <w:t>Załącznik nr 1 do SOPZ</w:t>
      </w:r>
    </w:p>
    <w:p w:rsidR="00793FBA" w:rsidRPr="00793FBA" w:rsidRDefault="00793FBA" w:rsidP="00793FBA">
      <w:pPr>
        <w:spacing w:after="120" w:line="360" w:lineRule="auto"/>
        <w:jc w:val="both"/>
        <w:rPr>
          <w:rFonts w:asciiTheme="minorHAnsi" w:hAnsiTheme="minorHAnsi" w:cs="Arial"/>
          <w:b/>
          <w:bCs/>
        </w:rPr>
      </w:pPr>
    </w:p>
    <w:p w:rsidR="00793FBA" w:rsidRPr="00793FBA" w:rsidRDefault="00793FBA" w:rsidP="00793FBA">
      <w:pPr>
        <w:spacing w:after="120" w:line="360" w:lineRule="auto"/>
        <w:jc w:val="both"/>
        <w:rPr>
          <w:rFonts w:asciiTheme="minorHAnsi" w:hAnsiTheme="minorHAnsi" w:cs="Arial"/>
          <w:b/>
          <w:bCs/>
        </w:rPr>
      </w:pPr>
      <w:r w:rsidRPr="00793FBA">
        <w:rPr>
          <w:rFonts w:asciiTheme="minorHAnsi" w:hAnsiTheme="minorHAnsi" w:cs="Arial"/>
          <w:b/>
          <w:bCs/>
        </w:rPr>
        <w:t xml:space="preserve">Opis Zadania polegającego na współpracy z Urzędami Marszałkowskimi </w:t>
      </w:r>
      <w:r w:rsidRPr="00793FBA">
        <w:rPr>
          <w:rFonts w:asciiTheme="minorHAnsi" w:hAnsiTheme="minorHAnsi" w:cs="Arial"/>
          <w:b/>
          <w:color w:val="000000"/>
        </w:rPr>
        <w:t>w zakresie wzmacniania zdolności gmin do programowania i wdrażania działań rewitalizacyjnych</w:t>
      </w:r>
    </w:p>
    <w:p w:rsidR="00793FBA" w:rsidRPr="00793FBA" w:rsidRDefault="00793FBA" w:rsidP="00793FBA">
      <w:pPr>
        <w:spacing w:after="120" w:line="360" w:lineRule="auto"/>
        <w:jc w:val="both"/>
        <w:rPr>
          <w:rFonts w:asciiTheme="minorHAnsi" w:hAnsiTheme="minorHAnsi" w:cs="Arial"/>
          <w:b/>
          <w:bCs/>
        </w:rPr>
      </w:pPr>
    </w:p>
    <w:p w:rsidR="00793FBA" w:rsidRPr="00793FBA" w:rsidRDefault="00793FBA" w:rsidP="00793FBA">
      <w:pPr>
        <w:pStyle w:val="Akapitzlist"/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Theme="minorHAnsi" w:hAnsiTheme="minorHAnsi" w:cs="Arial"/>
          <w:b/>
          <w:bCs/>
        </w:rPr>
      </w:pPr>
      <w:r w:rsidRPr="00793FBA">
        <w:rPr>
          <w:rFonts w:asciiTheme="minorHAnsi" w:hAnsiTheme="minorHAnsi" w:cs="Arial"/>
          <w:b/>
          <w:bCs/>
        </w:rPr>
        <w:t>Tło Zadania</w:t>
      </w:r>
    </w:p>
    <w:p w:rsidR="00793FBA" w:rsidRPr="00793FBA" w:rsidRDefault="00793FBA" w:rsidP="00793FBA">
      <w:pPr>
        <w:spacing w:before="120" w:after="120" w:line="360" w:lineRule="auto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</w:rPr>
        <w:t>W perspektywie finansowej 2014-2020 rewitalizacja jest jednym z obszarów szczególnej uwagi i koncentracji działań – w Umowie Partnerstwa wprost został wskazany obszar strategicznej interwencji „Miasta i dzielnice miast wymagające rewitalizacji”. Stwierdza się także, że „ważnym wnioskiem płynącym z dotychczasowych doświadczeń jest potrzeba zwiększenia kompleksowości działań rewitalizacyjnych (synergia działań na danym obszarze w sferze infrastrukturalnej, społecznej, środowiskowej, efektywności energetycznej, itd.) w oparciu o określoną przez samorząd i interesariuszy spójną wizję i program wyprowadzenia danego obszaru z sytuacji kryzysowej. Ponadto, potrzebne jest większe zaangażowanie organizacji pozarządowych oraz podmiotów bezpośrednio zainteresowanych, nie tylko poprzez pozyskiwanie danych (informacje), ale także powierzanie im realizacji działań społecznych. W tym celu przydatne jest poszukiwanie liderów działań i ścisła współpraca z nimi. W latach 2014</w:t>
      </w:r>
      <w:r w:rsidRPr="00793FBA">
        <w:rPr>
          <w:rFonts w:asciiTheme="minorHAnsi" w:hAnsiTheme="minorHAnsi" w:cs="Cambria Math"/>
        </w:rPr>
        <w:t>‐</w:t>
      </w:r>
      <w:r w:rsidRPr="00793FBA">
        <w:rPr>
          <w:rFonts w:asciiTheme="minorHAnsi" w:hAnsiTheme="minorHAnsi" w:cs="Arial"/>
        </w:rPr>
        <w:t xml:space="preserve">2020 należy określić procesy rewitalizacji przy założeniu precyzyjnego skoncentrowania na najbardziej problemowych (zdegradowanych) obszarach gmin”. Wnioski te stały się podstawą do przygotowania założeń krajowego systemu wsparcia rewitalizacji. </w:t>
      </w:r>
    </w:p>
    <w:p w:rsidR="00793FBA" w:rsidRPr="00793FBA" w:rsidRDefault="00793FBA" w:rsidP="00793FBA">
      <w:pPr>
        <w:spacing w:before="120" w:after="120" w:line="360" w:lineRule="auto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</w:rPr>
        <w:t xml:space="preserve">W ostatnich czterech latach inicjatywy i działania rewitalizacyjne w Polsce bardzo przyspieszyły. Sprzyja temu „Pakiet działań wspierających samorządy w programowaniu i realizacji rewitalizacji” – uruchomiony przez Ministerstwo Inwestycji i Rozwoju, jeden z projektów strategicznych „Strategii na rzecz Odpowiedzialnego Rozwoju”. Szczegółowe zasady wsparcia procesu przygotowania i wdrażania rewitalizacji w regionalnych i krajowych programach operacyjnych zostały określone w „Wytycznych Ministra Rozwoju w zakresie rewitalizacji w programach operacyjnych na lata 2014-2020”. Natomiast w 2015 r. weszła w życie ustawa o rewitalizacji określająca warunki prowadzenia procesów rewitalizacji w gminach. Oprócz stworzenia warunków prawnych i finansowych do prowadzenia procesu </w:t>
      </w:r>
      <w:r w:rsidRPr="00793FBA">
        <w:rPr>
          <w:rFonts w:asciiTheme="minorHAnsi" w:hAnsiTheme="minorHAnsi" w:cs="Arial"/>
        </w:rPr>
        <w:lastRenderedPageBreak/>
        <w:t xml:space="preserve">rewitalizacji, projekt obejmuje wsparcie dotacyjne i edukacyjne w upowszechnianie nowego podejścia do rewitalizacji.  W celu wsparcia gmin resort uruchomił środki na kwotę prawie 114 mln zł z Programu Operacyjnego Pomoc Techniczna 2014-2020. Środki te przekazywane są w ramach prowadzonych przez Ministerstwo konkursów dotacji (Modelowa Rewitalizacja Miast i konkursów </w:t>
      </w:r>
      <w:r w:rsidRPr="00793FBA">
        <w:rPr>
          <w:rFonts w:asciiTheme="minorHAnsi" w:hAnsiTheme="minorHAnsi" w:cs="Arial"/>
          <w:bCs/>
        </w:rPr>
        <w:t>na przygotowanie programów rewitalizacji</w:t>
      </w:r>
      <w:r w:rsidRPr="00793FBA">
        <w:rPr>
          <w:rFonts w:asciiTheme="minorHAnsi" w:hAnsiTheme="minorHAnsi" w:cs="Arial"/>
        </w:rPr>
        <w:t xml:space="preserve"> realizowanego we współpracy z urzędami marszałkowskimi) oraz wsparcia realizacji projektów pilotażowych w trzech miastach: Bytomiu, Łodzi, Wałbrzychu.</w:t>
      </w:r>
    </w:p>
    <w:p w:rsidR="00793FBA" w:rsidRPr="00793FBA" w:rsidRDefault="00793FBA" w:rsidP="00793FBA">
      <w:pPr>
        <w:spacing w:before="120" w:after="120" w:line="360" w:lineRule="auto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</w:rPr>
        <w:t>W latach 2015-2018 Ministerstwo wspólnie z urzędami marszałkowskimi zorganizowało konkursy dotacji dla gmin na przygotowanie lub aktualizację programów rewitalizacji. Celem realizacji zadania było wsparcie służb Instytucji Zarządzających Regionalnymi Programami Operacyjnymi poprzez powstanie Zespołów ds. Rewitalizacji, a następnie wsparcie gmin w procesie opracowywania bądź aktualizowania programów rewitalizacji. W tym przypadku istotne było upowszechnienie wiedzy na temat cech i elementów dobrych programów rewitalizacji, tj. zapewniających trwałe efekty podejmowanych interwencji. Współpracę z Ministerstwem zadeklarowało piętnaście województw (z wyjątkiem województwa warmińsko-mazurskiego). Na podstawie umowy każde województwo otrzymało dotację celową na realizację zadania polegającego na:</w:t>
      </w:r>
    </w:p>
    <w:p w:rsidR="00793FBA" w:rsidRPr="00793FBA" w:rsidRDefault="00793FBA" w:rsidP="00793FBA">
      <w:pPr>
        <w:pStyle w:val="Akapitzlist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t>wskazaniu</w:t>
      </w:r>
      <w:proofErr w:type="gramEnd"/>
      <w:r w:rsidRPr="00793FBA">
        <w:rPr>
          <w:rFonts w:asciiTheme="minorHAnsi" w:hAnsiTheme="minorHAnsi" w:cs="Arial"/>
        </w:rPr>
        <w:t xml:space="preserve"> w urzędzie marszałkowskim Zespołu ds. rewitalizacji;</w:t>
      </w:r>
    </w:p>
    <w:p w:rsidR="00793FBA" w:rsidRPr="00793FBA" w:rsidRDefault="00793FBA" w:rsidP="00793FBA">
      <w:pPr>
        <w:pStyle w:val="Akapitzlist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</w:rPr>
        <w:t>przygotowaniu i ogłoszeniu konkursu dotacji dla gmin na opracowanie albo aktualizację programów rewitalizacji przez gminy zlokalizowane na terenie danego województwa – głównym celem konkursu było wsparcie gmin w uruchomieniu procesów zmierzających do rewitalizacji obszarów zdegradowanych m.in. w ramach RPO, poprzez pomoc w </w:t>
      </w:r>
      <w:proofErr w:type="gramStart"/>
      <w:r w:rsidRPr="00793FBA">
        <w:rPr>
          <w:rFonts w:asciiTheme="minorHAnsi" w:hAnsiTheme="minorHAnsi" w:cs="Arial"/>
        </w:rPr>
        <w:t>przygotowaniu  programów</w:t>
      </w:r>
      <w:proofErr w:type="gramEnd"/>
      <w:r w:rsidRPr="00793FBA">
        <w:rPr>
          <w:rFonts w:asciiTheme="minorHAnsi" w:hAnsiTheme="minorHAnsi" w:cs="Arial"/>
        </w:rPr>
        <w:t xml:space="preserve"> rewitalizacji jako dokumentów podstawowych dla prowadzenia tych procesów;</w:t>
      </w:r>
    </w:p>
    <w:p w:rsidR="00793FBA" w:rsidRPr="00793FBA" w:rsidRDefault="00793FBA" w:rsidP="00793FBA">
      <w:pPr>
        <w:pStyle w:val="Akapitzlist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t>przygotowaniu</w:t>
      </w:r>
      <w:proofErr w:type="gramEnd"/>
      <w:r w:rsidRPr="00793FBA">
        <w:rPr>
          <w:rFonts w:asciiTheme="minorHAnsi" w:hAnsiTheme="minorHAnsi" w:cs="Arial"/>
        </w:rPr>
        <w:t xml:space="preserve"> spotkań informacyjnych i edukacyjnych;</w:t>
      </w:r>
    </w:p>
    <w:p w:rsidR="00793FBA" w:rsidRPr="00793FBA" w:rsidRDefault="00793FBA" w:rsidP="00793FBA">
      <w:pPr>
        <w:pStyle w:val="Akapitzlist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t>ocenie</w:t>
      </w:r>
      <w:proofErr w:type="gramEnd"/>
      <w:r w:rsidRPr="00793FBA">
        <w:rPr>
          <w:rFonts w:asciiTheme="minorHAnsi" w:hAnsiTheme="minorHAnsi" w:cs="Arial"/>
        </w:rPr>
        <w:t xml:space="preserve"> programów rewitalizacji.</w:t>
      </w:r>
    </w:p>
    <w:p w:rsidR="00793FBA" w:rsidRPr="00793FBA" w:rsidRDefault="00793FBA" w:rsidP="00793FBA">
      <w:pPr>
        <w:spacing w:before="120" w:after="120" w:line="360" w:lineRule="auto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</w:rPr>
        <w:t xml:space="preserve">Wartość projektów realizowanych w 15 województwach wyniosła 61,4 mln zł, a całkowita kwota dotacji to 55 mln zł, z czego bezpośrednio na dotacje dla gmin przeznaczonych zostało ponad 46,8 mln zł. Łącznie w wykazach wojewódzkich znajduje się blisko 1 400 programów rewitalizacji </w:t>
      </w:r>
      <w:r w:rsidRPr="00793FBA">
        <w:rPr>
          <w:rFonts w:asciiTheme="minorHAnsi" w:hAnsiTheme="minorHAnsi" w:cs="Arial"/>
        </w:rPr>
        <w:lastRenderedPageBreak/>
        <w:t>przygotowanych przez gminy (tj. 55% gmin w Polsce), z czego 1 029 z wykorzystaniem dotacji (tj. 74% programów ujętych w wykazach).</w:t>
      </w:r>
    </w:p>
    <w:p w:rsidR="00793FBA" w:rsidRPr="00793FBA" w:rsidRDefault="00793FBA" w:rsidP="00793FBA">
      <w:pPr>
        <w:spacing w:before="120" w:after="120" w:line="360" w:lineRule="auto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  <w:bCs/>
        </w:rPr>
        <w:t xml:space="preserve">W ramach </w:t>
      </w:r>
      <w:r w:rsidRPr="00793FBA">
        <w:rPr>
          <w:rFonts w:asciiTheme="minorHAnsi" w:hAnsiTheme="minorHAnsi" w:cs="Arial"/>
        </w:rPr>
        <w:t>średniookresowego badania ewaluacyjnego dotyczącego skuteczności wsparcia udzielanego w ramach Programu Operacyjnego Pomoc Techniczna 2014-2020w połowie okresu jego wdrażania, oceniona została skuteczność działań wspierających JST w zakresie tworzenia i wdrażania programów rewitalizacji. Obserwacje te znalazły także potwierdzenie w ministerialnym raporcie „Rewitalizacja w Polsce. Pierwsze obserwacje i wnioski. Raport 2018”. Do najważniejszych wniosków należą:</w:t>
      </w:r>
    </w:p>
    <w:p w:rsidR="00793FBA" w:rsidRPr="00793FBA" w:rsidRDefault="00793FBA" w:rsidP="00793FBA">
      <w:pPr>
        <w:pStyle w:val="Akapitzlist"/>
        <w:numPr>
          <w:ilvl w:val="0"/>
          <w:numId w:val="8"/>
        </w:numPr>
        <w:spacing w:before="120" w:after="120" w:line="360" w:lineRule="auto"/>
        <w:ind w:left="425" w:hanging="357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</w:rPr>
        <w:t>Podjęte działania wspierające przyczyniły się do zwiększenia wiedzy na temat rewitalizacji i jej prawnych uwarunkowań. Mimo to, tylko ok. 20% gmin przygotowała gminne programy rewitalizacji w oparciu o ustawę o rewitalizacji, wykorzystując okres przejściowy umożliwiający ścieżkę „pozaustawową”. Po roku 2023 r. działania rewitalizacyjne będą mogły być realizowane tylko w oparciu o gminne programy rewitalizacji przygotowane w reżimie ustawy. W związku z tym, działania świadomościowe powinny być kontynuowane.</w:t>
      </w:r>
    </w:p>
    <w:p w:rsidR="00793FBA" w:rsidRPr="00793FBA" w:rsidRDefault="00793FBA" w:rsidP="00793FBA">
      <w:pPr>
        <w:pStyle w:val="Akapitzlist"/>
        <w:numPr>
          <w:ilvl w:val="0"/>
          <w:numId w:val="8"/>
        </w:numPr>
        <w:spacing w:before="120" w:after="120" w:line="360" w:lineRule="auto"/>
        <w:ind w:left="425" w:hanging="357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</w:rPr>
        <w:t xml:space="preserve">Wsparcie dotacyjne nie stało się okazją do zbudowania trwałego potencjału własnego gminy do realizacji zadań związanych z programowaniem rewitalizacji. Główną formą realizacji zadań związanych z opracowaniem programów rewitalizacji było zlecanie działań podmiotowi zewnętrznemu. Należy dążyć do tego, by pracownicy urzędów gmin w większym stopniu angażowali się we wspierane działania. Ponieważ przygotowanie programu rewitalizacji jest tylko początkiem długoletniego procesu, wsparcie gmin powinno koncentrować się na doradztwie na rzecz gmin, a nie </w:t>
      </w:r>
      <w:proofErr w:type="gramStart"/>
      <w:r w:rsidRPr="00793FBA">
        <w:rPr>
          <w:rFonts w:asciiTheme="minorHAnsi" w:hAnsiTheme="minorHAnsi" w:cs="Arial"/>
        </w:rPr>
        <w:t>na  finansowaniu</w:t>
      </w:r>
      <w:proofErr w:type="gramEnd"/>
      <w:r w:rsidRPr="00793FBA">
        <w:rPr>
          <w:rFonts w:asciiTheme="minorHAnsi" w:hAnsiTheme="minorHAnsi" w:cs="Arial"/>
        </w:rPr>
        <w:t xml:space="preserve"> wykonania przez podmiot zewnętrzny usług na rzecz gmin. Dzięki takiemu podejściu budowany będzie potencjał wiedzy i doświadczenia lokalnych zasobów, które odpowiedzialne są za planowanie i realizację procesów rewitalizacyjnych.</w:t>
      </w:r>
    </w:p>
    <w:p w:rsidR="00793FBA" w:rsidRPr="00793FBA" w:rsidRDefault="00793FBA" w:rsidP="00793FBA">
      <w:pPr>
        <w:pStyle w:val="Akapitzlist"/>
        <w:numPr>
          <w:ilvl w:val="0"/>
          <w:numId w:val="8"/>
        </w:numPr>
        <w:spacing w:before="120" w:after="120" w:line="360" w:lineRule="auto"/>
        <w:ind w:left="425" w:hanging="357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</w:rPr>
        <w:t>Eksperckie i szkoleniowe wsparcie świadczone gminom przez Ministerstwo i urzędy marszałkowskie zostało wysoko ocenione. Poza oczekiwaniem finansowania wdrażania programów rewitalizacji, gminy mają oczekiwania dotyczące kontynuacji wsparcia szkoleniowego i doradczego.</w:t>
      </w:r>
    </w:p>
    <w:p w:rsidR="00793FBA" w:rsidRPr="00793FBA" w:rsidRDefault="00793FBA" w:rsidP="00793FBA">
      <w:pPr>
        <w:pStyle w:val="Akapitzlist"/>
        <w:numPr>
          <w:ilvl w:val="0"/>
          <w:numId w:val="8"/>
        </w:numPr>
        <w:spacing w:before="120" w:after="120" w:line="360" w:lineRule="auto"/>
        <w:ind w:left="425" w:hanging="357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</w:rPr>
        <w:lastRenderedPageBreak/>
        <w:t>Dzięki wsparciu uruchomione zostały procesy partycypacji społecznej związane z przygotowaniem programów rewitalizacji przyczyniające się do lepszego poznania sytuacji w obszarze problemowym, poznanie się urzędników i mieszkańców, a co za tym idzie ich potrzeb, a także zwiększenie integracji społeczności lokalnej. Dla wielu gmin prace przy opracowaniu programu rewitalizacji posłużyły do zapoznania się z narzędziami angażowania społeczności lokalnej. Nadal jednak aktywne angażowanie mieszkańców w działania gminy jest wyzwaniem, z którym gminy nie radzą sobie lub sprawia im to spore trudności. Wykorzystanie narzędzi partycypacji społecznej wymaga przygotowania urzędników do prowadzenia tego typu działań.</w:t>
      </w:r>
    </w:p>
    <w:p w:rsidR="00793FBA" w:rsidRPr="00793FBA" w:rsidRDefault="00793FBA" w:rsidP="00793FBA">
      <w:pPr>
        <w:pStyle w:val="Akapitzlist"/>
        <w:numPr>
          <w:ilvl w:val="0"/>
          <w:numId w:val="8"/>
        </w:numPr>
        <w:spacing w:before="120" w:after="120" w:line="360" w:lineRule="auto"/>
        <w:ind w:left="425" w:hanging="357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</w:rPr>
        <w:t xml:space="preserve">Dla gmin przydatne będą doświadczenia z miast realizujących projekty w ramach konkursu Modelowa Rewitalizacja Miast i projektów pilotażowych. W celu lepszego zrozumienia idei rewitalizacji, należy upowszechniać dobre praktyki oraz rozwiązania uznane za modelowe, gdyż mogą one być istotnym źródłem wiedzy i inspiracji dotyczącej planowania i przebiegu procesów rewitalizacyjnych dla innych gmin o podobnej charakterystyce. </w:t>
      </w:r>
    </w:p>
    <w:p w:rsidR="00793FBA" w:rsidRPr="00793FBA" w:rsidRDefault="00793FBA" w:rsidP="00793FBA">
      <w:pPr>
        <w:spacing w:before="120" w:after="120" w:line="360" w:lineRule="auto"/>
        <w:jc w:val="both"/>
        <w:rPr>
          <w:rFonts w:asciiTheme="minorHAnsi" w:hAnsiTheme="minorHAnsi" w:cs="Arial"/>
          <w:b/>
          <w:bCs/>
        </w:rPr>
      </w:pPr>
      <w:r w:rsidRPr="00793FBA">
        <w:rPr>
          <w:rFonts w:asciiTheme="minorHAnsi" w:hAnsiTheme="minorHAnsi" w:cs="Arial"/>
        </w:rPr>
        <w:t xml:space="preserve">Wychodząc naprzeciw oczekiwaniom i potrzebom gmin oraz urzędów marszałkowskich oraz biorąc pod uwagę skalę podejmowanych działań rewitalizacyjnych w Polsce, proponuje się kontynuację wsparcia dla gmin poprzez współpracę z urzędami marszałkowskimi w ramach zadania opisanego poniżej. </w:t>
      </w:r>
    </w:p>
    <w:p w:rsidR="00793FBA" w:rsidRPr="00793FBA" w:rsidRDefault="00793FBA" w:rsidP="00793FBA">
      <w:pPr>
        <w:pStyle w:val="Akapitzlist"/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Theme="minorHAnsi" w:hAnsiTheme="minorHAnsi" w:cs="Arial"/>
          <w:b/>
          <w:bCs/>
        </w:rPr>
      </w:pPr>
      <w:r w:rsidRPr="00793FBA">
        <w:rPr>
          <w:rFonts w:asciiTheme="minorHAnsi" w:hAnsiTheme="minorHAnsi" w:cs="Arial"/>
          <w:b/>
          <w:bCs/>
        </w:rPr>
        <w:t>Przedmiot Zadania</w:t>
      </w:r>
    </w:p>
    <w:p w:rsidR="00793FBA" w:rsidRPr="00793FBA" w:rsidRDefault="00793FBA" w:rsidP="00793FBA">
      <w:pPr>
        <w:tabs>
          <w:tab w:val="num" w:pos="1440"/>
        </w:tabs>
        <w:spacing w:after="120" w:line="360" w:lineRule="auto"/>
        <w:jc w:val="both"/>
        <w:rPr>
          <w:rFonts w:asciiTheme="minorHAnsi" w:hAnsiTheme="minorHAnsi" w:cs="Arial"/>
          <w:bCs/>
        </w:rPr>
      </w:pPr>
      <w:r w:rsidRPr="00793FBA">
        <w:rPr>
          <w:rFonts w:asciiTheme="minorHAnsi" w:hAnsiTheme="minorHAnsi" w:cs="Arial"/>
          <w:bCs/>
        </w:rPr>
        <w:t xml:space="preserve">Celem zadania jest </w:t>
      </w:r>
      <w:r w:rsidRPr="00793FBA">
        <w:rPr>
          <w:rFonts w:asciiTheme="minorHAnsi" w:hAnsiTheme="minorHAnsi" w:cs="Arial"/>
        </w:rPr>
        <w:t xml:space="preserve">wzmocnienie zdolności JST do programowania i wdrażania działań rewitalizacyjnych, zwłaszcza w zakresie dostępności w rewitalizacji, zarządzania, włączenia społecznego, wykorzystania narzędzi ustawowych oraz wypracowanie i wdrożenie systemu monitorowania rewitalizacji w gminach i na poziomie regionów. </w:t>
      </w:r>
      <w:r w:rsidRPr="00793FBA">
        <w:rPr>
          <w:rFonts w:asciiTheme="minorHAnsi" w:hAnsiTheme="minorHAnsi" w:cs="Arial"/>
          <w:bCs/>
        </w:rPr>
        <w:t xml:space="preserve">Dodatkowym celem jest wsparcie funkcjonowania Zespołów ds. rewitalizacji działających w urzędach marszałkowskich, które zapewniać będą doradztwo i wsparcie dla gmin w zakresie prowadzenia działań rewitalizacyjnych. Intencją jest, aby Zespoły ds. rewitalizacji miały charakter merytoryczny i długoterminowy, </w:t>
      </w:r>
      <w:proofErr w:type="gramStart"/>
      <w:r w:rsidRPr="00793FBA">
        <w:rPr>
          <w:rFonts w:asciiTheme="minorHAnsi" w:hAnsiTheme="minorHAnsi" w:cs="Arial"/>
          <w:bCs/>
        </w:rPr>
        <w:t xml:space="preserve">tak </w:t>
      </w:r>
      <w:r w:rsidRPr="00793FBA">
        <w:rPr>
          <w:rFonts w:asciiTheme="minorHAnsi" w:hAnsiTheme="minorHAnsi" w:cs="Arial"/>
        </w:rPr>
        <w:t>aby</w:t>
      </w:r>
      <w:proofErr w:type="gramEnd"/>
      <w:r w:rsidRPr="00793FBA">
        <w:rPr>
          <w:rFonts w:asciiTheme="minorHAnsi" w:hAnsiTheme="minorHAnsi" w:cs="Arial"/>
        </w:rPr>
        <w:t xml:space="preserve"> powstały kapitał można w dalszych latach wykorzystać w procesie programowania i wdrażania rewitalizacji.</w:t>
      </w:r>
    </w:p>
    <w:p w:rsidR="00793FBA" w:rsidRPr="00793FBA" w:rsidRDefault="00793FBA" w:rsidP="00793FBA">
      <w:pPr>
        <w:tabs>
          <w:tab w:val="num" w:pos="1440"/>
        </w:tabs>
        <w:spacing w:after="120" w:line="360" w:lineRule="auto"/>
        <w:jc w:val="both"/>
        <w:rPr>
          <w:rFonts w:asciiTheme="minorHAnsi" w:hAnsiTheme="minorHAnsi" w:cs="Arial"/>
          <w:bCs/>
        </w:rPr>
      </w:pPr>
      <w:r w:rsidRPr="00793FBA">
        <w:rPr>
          <w:rFonts w:asciiTheme="minorHAnsi" w:hAnsiTheme="minorHAnsi" w:cs="Arial"/>
        </w:rPr>
        <w:lastRenderedPageBreak/>
        <w:t xml:space="preserve">Na podstawie Umowy Województwo otrzymuje wsparcie doradcze w ramach 4 modułów szkoleniowych oraz dotację celową na współpracę z gminami w zakresie tematycznym zgodnym z modułami szkoleń. Poprzez uczestnictwo członków Zespołów ds. rewitalizacji w warsztatach i szkoleniach zapewnione zostanie jednolite podejście do zagadnień związanych z procesami rewitalizacji oraz możliwa będzie wymiana wiedzy i doświadczeń uwzględniająca uwarunkowania regionalne. </w:t>
      </w:r>
      <w:r w:rsidRPr="00793FBA">
        <w:rPr>
          <w:rFonts w:asciiTheme="minorHAnsi" w:hAnsiTheme="minorHAnsi" w:cs="Arial"/>
          <w:bCs/>
        </w:rPr>
        <w:t xml:space="preserve">Wnioski ze spotkań Zespołów ds. rewitalizacji zostaną wykorzystane do doskonalenia systemu rewitalizacji. </w:t>
      </w:r>
    </w:p>
    <w:p w:rsidR="00793FBA" w:rsidRPr="00793FBA" w:rsidRDefault="00793FBA" w:rsidP="00793FBA">
      <w:pPr>
        <w:spacing w:after="120" w:line="360" w:lineRule="auto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</w:rPr>
        <w:t xml:space="preserve">Zaplanowane moduły szkoleń obejmują następujące tematy: </w:t>
      </w:r>
    </w:p>
    <w:p w:rsidR="00793FBA" w:rsidRPr="00793FBA" w:rsidRDefault="00793FBA" w:rsidP="00793FBA">
      <w:pPr>
        <w:numPr>
          <w:ilvl w:val="0"/>
          <w:numId w:val="9"/>
        </w:numPr>
        <w:spacing w:after="120" w:line="360" w:lineRule="auto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</w:rPr>
        <w:t>dostępność w rewitalizacji – celem jest wzmocnienie zdolności samorządów do uwzględniania problematyki dostępności zarówno w programowaniu strategicznym (w tym w strategach rozwoju, programach rewitalizacji), planowaniu przestrzennym, jak i w przygotowywaniu i realizacji konkretnych projektów (w tym rewitalizacyjnych</w:t>
      </w:r>
      <w:proofErr w:type="gramStart"/>
      <w:r w:rsidRPr="00793FBA">
        <w:rPr>
          <w:rFonts w:asciiTheme="minorHAnsi" w:hAnsiTheme="minorHAnsi" w:cs="Arial"/>
        </w:rPr>
        <w:t>),zgodnie</w:t>
      </w:r>
      <w:proofErr w:type="gramEnd"/>
      <w:r w:rsidRPr="00793FBA">
        <w:rPr>
          <w:rFonts w:asciiTheme="minorHAnsi" w:hAnsiTheme="minorHAnsi" w:cs="Arial"/>
        </w:rPr>
        <w:t xml:space="preserve"> ze standardami określonymi w Programie Dostępność Plus 2018-2025.</w:t>
      </w:r>
    </w:p>
    <w:p w:rsidR="00793FBA" w:rsidRPr="00793FBA" w:rsidRDefault="00793FBA" w:rsidP="00793FBA">
      <w:pPr>
        <w:numPr>
          <w:ilvl w:val="0"/>
          <w:numId w:val="9"/>
        </w:numPr>
        <w:spacing w:after="120" w:line="360" w:lineRule="auto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t>zarządzanie</w:t>
      </w:r>
      <w:proofErr w:type="gramEnd"/>
      <w:r w:rsidRPr="00793FBA">
        <w:rPr>
          <w:rFonts w:asciiTheme="minorHAnsi" w:hAnsiTheme="minorHAnsi" w:cs="Arial"/>
        </w:rPr>
        <w:t xml:space="preserve"> rewitalizacją i włączenie społeczności lokalnej we wdrażanie programów rewitalizacji – celem jest wzmocnienie kompetencji samorządów w zakresie uspołeczniania procesu rewitalizacji poprzez m.in. tworzenie systemowych mechanizmów wzmacniania wspólnot lokalnych i partycypacji społecznej w kształtowaniu przestrzeni publicznej, zainteresowanie gmin potencjałem działań rewitalizacyjnych w małej skali, szczególnie w aspekcie integracji i aktywizacji społeczności lokalnej, wzmocnienie zdolności gmin do dywersyfikacji źródeł finansowania działań rewitalizacyjnych, tj. większe zaangażowanie inwestorów prywatnych, wspólnot/ spółdzielni mieszkaniowych i TBS-ów oraz NGO-sów w realizację programów rewitalizacji, korzystania z instrumentów zwrotnych.</w:t>
      </w:r>
    </w:p>
    <w:p w:rsidR="00793FBA" w:rsidRPr="00793FBA" w:rsidRDefault="00793FBA" w:rsidP="00793FBA">
      <w:pPr>
        <w:numPr>
          <w:ilvl w:val="0"/>
          <w:numId w:val="9"/>
        </w:numPr>
        <w:spacing w:after="120" w:line="360" w:lineRule="auto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t>wykorzystanie</w:t>
      </w:r>
      <w:proofErr w:type="gramEnd"/>
      <w:r w:rsidRPr="00793FBA">
        <w:rPr>
          <w:rFonts w:asciiTheme="minorHAnsi" w:hAnsiTheme="minorHAnsi" w:cs="Arial"/>
        </w:rPr>
        <w:t xml:space="preserve"> narzędzi wynikających z ustawy o rewitalizacji – celem jest podniesienie świadomości samorządów i wzmocnienie zdolności gmin do stosowania ustawowych narzędzi rewitalizacyjnych (gminny program rewitalizacji, Komitet Rewitalizacji, Specjalna Strefa Rewitalizacji, miejscowy plan rewitalizacji), </w:t>
      </w:r>
    </w:p>
    <w:p w:rsidR="00793FBA" w:rsidRPr="00793FBA" w:rsidRDefault="00793FBA" w:rsidP="00793FBA">
      <w:pPr>
        <w:numPr>
          <w:ilvl w:val="0"/>
          <w:numId w:val="9"/>
        </w:numPr>
        <w:spacing w:after="120" w:line="360" w:lineRule="auto"/>
        <w:jc w:val="both"/>
        <w:rPr>
          <w:rFonts w:asciiTheme="minorHAnsi" w:hAnsiTheme="minorHAnsi" w:cs="Arial"/>
          <w:bCs/>
        </w:rPr>
      </w:pPr>
      <w:proofErr w:type="gramStart"/>
      <w:r w:rsidRPr="00793FBA">
        <w:rPr>
          <w:rFonts w:asciiTheme="minorHAnsi" w:hAnsiTheme="minorHAnsi" w:cs="Arial"/>
        </w:rPr>
        <w:lastRenderedPageBreak/>
        <w:t>monitoring</w:t>
      </w:r>
      <w:proofErr w:type="gramEnd"/>
      <w:r w:rsidRPr="00793FBA">
        <w:rPr>
          <w:rFonts w:asciiTheme="minorHAnsi" w:hAnsiTheme="minorHAnsi" w:cs="Arial"/>
        </w:rPr>
        <w:t xml:space="preserve"> i ewaluacja działań rewitalizacyjnych – celem jest wzmocnienie zdolności gmin do tworzenia efektywnych systemów monitorowania rozwoju lokalnego (na poziomie gminnym i uwzględniającym zróżnicowanie wewnętrzne gminy), w tym monitorowania i ewaluacji programów rewitalizacji. Celem dodatkowym jest usystematyzowanie podejścia do monitorowania działań rewitalizacyjnych w ujęciu regionalnym. </w:t>
      </w:r>
    </w:p>
    <w:p w:rsidR="00793FBA" w:rsidRPr="00793FBA" w:rsidRDefault="00793FBA" w:rsidP="00793FBA">
      <w:pPr>
        <w:spacing w:after="120" w:line="360" w:lineRule="auto"/>
        <w:jc w:val="both"/>
        <w:rPr>
          <w:rFonts w:asciiTheme="minorHAnsi" w:hAnsiTheme="minorHAnsi" w:cs="Arial"/>
          <w:bCs/>
        </w:rPr>
      </w:pPr>
      <w:r w:rsidRPr="00793FBA">
        <w:rPr>
          <w:rFonts w:asciiTheme="minorHAnsi" w:hAnsiTheme="minorHAnsi" w:cs="Arial"/>
          <w:bCs/>
        </w:rPr>
        <w:t xml:space="preserve">Zadanie planowane do realizacji w latach 2019-2022. </w:t>
      </w:r>
    </w:p>
    <w:p w:rsidR="00793FBA" w:rsidRPr="00793FBA" w:rsidRDefault="00793FBA" w:rsidP="00793FBA">
      <w:pPr>
        <w:spacing w:after="120" w:line="360" w:lineRule="auto"/>
        <w:jc w:val="both"/>
        <w:rPr>
          <w:rFonts w:asciiTheme="minorHAnsi" w:hAnsiTheme="minorHAnsi" w:cs="Arial"/>
          <w:bCs/>
        </w:rPr>
      </w:pPr>
      <w:r w:rsidRPr="00793FBA">
        <w:rPr>
          <w:rFonts w:asciiTheme="minorHAnsi" w:hAnsiTheme="minorHAnsi" w:cs="Arial"/>
          <w:bCs/>
        </w:rPr>
        <w:t xml:space="preserve">Produktami Zadania będą: spotkania edukacyjne, wsparcie doradcze dla gmin, </w:t>
      </w:r>
      <w:r w:rsidRPr="00793FBA">
        <w:rPr>
          <w:rFonts w:asciiTheme="minorHAnsi" w:hAnsiTheme="minorHAnsi" w:cs="Arial"/>
        </w:rPr>
        <w:t xml:space="preserve">regionalny serwis internetowy poświęcony rewitalizacji. Dodatkowymi produktami Zadania, w ramach nieobligatoryjnych działań regionów, mogą być: </w:t>
      </w:r>
      <w:r w:rsidRPr="00793FBA">
        <w:rPr>
          <w:rFonts w:asciiTheme="minorHAnsi" w:hAnsiTheme="minorHAnsi" w:cs="Arial"/>
          <w:bCs/>
        </w:rPr>
        <w:t xml:space="preserve">rozbudowa </w:t>
      </w:r>
      <w:r w:rsidRPr="00793FBA">
        <w:rPr>
          <w:rFonts w:asciiTheme="minorHAnsi" w:hAnsiTheme="minorHAnsi" w:cs="Arial"/>
        </w:rPr>
        <w:t>Systemów Informacji Przestrzennej województw o komponent dotyczący rewitalizacji oraz regionalna polityka rewitalizacji.</w:t>
      </w:r>
    </w:p>
    <w:p w:rsidR="00793FBA" w:rsidRPr="00793FBA" w:rsidRDefault="00793FBA" w:rsidP="00793FBA">
      <w:pPr>
        <w:spacing w:after="120" w:line="360" w:lineRule="auto"/>
        <w:jc w:val="both"/>
        <w:rPr>
          <w:rFonts w:asciiTheme="minorHAnsi" w:hAnsiTheme="minorHAnsi" w:cs="Arial"/>
          <w:bCs/>
        </w:rPr>
      </w:pPr>
      <w:r w:rsidRPr="00793FBA">
        <w:rPr>
          <w:rFonts w:asciiTheme="minorHAnsi" w:hAnsiTheme="minorHAnsi" w:cs="Arial"/>
          <w:bCs/>
        </w:rPr>
        <w:t>Zakładanymi rezultatami Zadania są funkcjonowanie w urzędzie marszałkowskim kompetentnego Zespołu ds. rewitalizacji,</w:t>
      </w:r>
      <w:r w:rsidRPr="00793FBA">
        <w:rPr>
          <w:rFonts w:asciiTheme="minorHAnsi" w:hAnsiTheme="minorHAnsi" w:cs="Arial"/>
        </w:rPr>
        <w:t xml:space="preserve"> poszerzenie </w:t>
      </w:r>
      <w:proofErr w:type="gramStart"/>
      <w:r w:rsidRPr="00793FBA">
        <w:rPr>
          <w:rFonts w:asciiTheme="minorHAnsi" w:hAnsiTheme="minorHAnsi" w:cs="Arial"/>
        </w:rPr>
        <w:t>wiedzy  pracowników</w:t>
      </w:r>
      <w:proofErr w:type="gramEnd"/>
      <w:r w:rsidRPr="00793FBA">
        <w:rPr>
          <w:rFonts w:asciiTheme="minorHAnsi" w:hAnsiTheme="minorHAnsi" w:cs="Arial"/>
        </w:rPr>
        <w:t xml:space="preserve"> urzędów gmin, </w:t>
      </w:r>
      <w:r w:rsidRPr="00793FBA">
        <w:rPr>
          <w:rFonts w:asciiTheme="minorHAnsi" w:hAnsiTheme="minorHAnsi" w:cs="Arial"/>
          <w:bCs/>
        </w:rPr>
        <w:t>włączenie w działania rewitalizacyjne społeczności lokalnej, kreowanie liderów lokalnych, wzrost liczby przygotowanych gminnych programów rewitalizacji i narzędzi ustawowych, prowadzenie polityk w gminie w oparciu o sprawdzone i aktualne dane dotyczące rozwoju gminy.</w:t>
      </w:r>
    </w:p>
    <w:p w:rsidR="00793FBA" w:rsidRPr="00793FBA" w:rsidRDefault="00793FBA" w:rsidP="00793FBA">
      <w:pPr>
        <w:pStyle w:val="Akapitzlist"/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Theme="minorHAnsi" w:hAnsiTheme="minorHAnsi" w:cs="Arial"/>
          <w:b/>
          <w:bCs/>
        </w:rPr>
      </w:pPr>
      <w:r w:rsidRPr="00793FBA">
        <w:rPr>
          <w:rFonts w:asciiTheme="minorHAnsi" w:hAnsiTheme="minorHAnsi" w:cs="Arial"/>
          <w:b/>
          <w:bCs/>
        </w:rPr>
        <w:t>Szczegółowy opis Zadania</w:t>
      </w:r>
    </w:p>
    <w:p w:rsidR="00793FBA" w:rsidRPr="00793FBA" w:rsidRDefault="00793FBA" w:rsidP="00793FBA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Theme="minorHAnsi" w:hAnsiTheme="minorHAnsi" w:cs="Arial"/>
          <w:u w:val="single"/>
        </w:rPr>
      </w:pPr>
      <w:r w:rsidRPr="00793FBA">
        <w:rPr>
          <w:rFonts w:asciiTheme="minorHAnsi" w:hAnsiTheme="minorHAnsi" w:cs="Arial"/>
          <w:u w:val="single"/>
        </w:rPr>
        <w:t>Funkcjonowanie w Urzędzie Marszałkowskim Zespołu ds. rewitalizacji (dalej Zespół):</w:t>
      </w:r>
    </w:p>
    <w:p w:rsidR="00793FBA" w:rsidRPr="00793FBA" w:rsidRDefault="00793FBA" w:rsidP="00793FBA">
      <w:pPr>
        <w:pStyle w:val="Akapitzlist"/>
        <w:numPr>
          <w:ilvl w:val="0"/>
          <w:numId w:val="3"/>
        </w:numPr>
        <w:tabs>
          <w:tab w:val="left" w:pos="993"/>
        </w:tabs>
        <w:spacing w:after="120" w:line="360" w:lineRule="auto"/>
        <w:ind w:left="993" w:hanging="284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</w:rPr>
        <w:t>Skład Zespołu – Zespół do spraw rewitalizacji składa się z pracowników Urzędu Marszałkowskiego oddelegowanych do pracy w Zespole, obowiązkowe jest wskazanie Koordynatora merytorycznego Zespołu (</w:t>
      </w:r>
      <w:r w:rsidRPr="00793FBA">
        <w:rPr>
          <w:rFonts w:asciiTheme="minorHAnsi" w:hAnsiTheme="minorHAnsi" w:cs="Arial"/>
          <w:iCs/>
        </w:rPr>
        <w:t>maksymalna liczba członków Zespołu finansowana w ramach Zadnia została określona w szczegółowym budżecie Zadania</w:t>
      </w:r>
      <w:r w:rsidRPr="00793FBA">
        <w:rPr>
          <w:rFonts w:asciiTheme="minorHAnsi" w:hAnsiTheme="minorHAnsi" w:cs="Arial"/>
        </w:rPr>
        <w:t xml:space="preserve">). W prace </w:t>
      </w:r>
      <w:proofErr w:type="gramStart"/>
      <w:r w:rsidRPr="00793FBA">
        <w:rPr>
          <w:rFonts w:asciiTheme="minorHAnsi" w:hAnsiTheme="minorHAnsi" w:cs="Arial"/>
        </w:rPr>
        <w:t>Zespołu co</w:t>
      </w:r>
      <w:proofErr w:type="gramEnd"/>
      <w:r w:rsidRPr="00793FBA">
        <w:rPr>
          <w:rFonts w:asciiTheme="minorHAnsi" w:hAnsiTheme="minorHAnsi" w:cs="Arial"/>
        </w:rPr>
        <w:t xml:space="preserve"> do zasady powinni być włączeni pracownicy zaangażowani w I etap wsparcia gmin, tj. konkursy dotacji na przygotowanie i aktualizacje programów rewitalizacji realizowane w latach 2015-2018. </w:t>
      </w:r>
    </w:p>
    <w:p w:rsidR="00793FBA" w:rsidRPr="00793FBA" w:rsidRDefault="00793FBA" w:rsidP="00793FBA">
      <w:pPr>
        <w:tabs>
          <w:tab w:val="left" w:pos="993"/>
        </w:tabs>
        <w:spacing w:after="120" w:line="360" w:lineRule="auto"/>
        <w:ind w:left="993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</w:rPr>
        <w:t xml:space="preserve">Zespół ma mieć charakter merytoryczny, a nie tylko projektowy. Intencją Ministerstwa jest utrzymanie funkcjonowania Zespołu ds. rewitalizacji zarówno w okresie finansowania </w:t>
      </w:r>
      <w:r w:rsidRPr="00793FBA">
        <w:rPr>
          <w:rFonts w:asciiTheme="minorHAnsi" w:hAnsiTheme="minorHAnsi" w:cs="Arial"/>
        </w:rPr>
        <w:lastRenderedPageBreak/>
        <w:t xml:space="preserve">Zadania jak i po jego zakończeniu, </w:t>
      </w:r>
      <w:proofErr w:type="gramStart"/>
      <w:r w:rsidRPr="00793FBA">
        <w:rPr>
          <w:rFonts w:asciiTheme="minorHAnsi" w:hAnsiTheme="minorHAnsi" w:cs="Arial"/>
        </w:rPr>
        <w:t>tak aby</w:t>
      </w:r>
      <w:proofErr w:type="gramEnd"/>
      <w:r w:rsidRPr="00793FBA">
        <w:rPr>
          <w:rFonts w:asciiTheme="minorHAnsi" w:hAnsiTheme="minorHAnsi" w:cs="Arial"/>
        </w:rPr>
        <w:t xml:space="preserve"> zachować wsparcie dla gmin zwłaszcza w okresie przejściowym.</w:t>
      </w:r>
    </w:p>
    <w:p w:rsidR="00793FBA" w:rsidRPr="00793FBA" w:rsidRDefault="00793FBA" w:rsidP="00793FBA">
      <w:pPr>
        <w:tabs>
          <w:tab w:val="left" w:pos="993"/>
        </w:tabs>
        <w:spacing w:after="120" w:line="360" w:lineRule="auto"/>
        <w:ind w:left="993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</w:rPr>
        <w:t xml:space="preserve">W związku z realizacją Zadania Koordynator merytoryczny Zespołu będzie odpowiedzialny za koordynację i nadzór nad jego realizacją, w tym bieżący kontakt z pracownikami Ministerstwa, koordynowanie rozliczania wydatków ponoszonych na podstawie Umowy (sprawozdania przekazywane do Ministerstwa), udział w ewentualnych kontrolach przeprowadzanych przez osoby wskazane przez Ministra lub inne upoważnione instytucje. </w:t>
      </w:r>
    </w:p>
    <w:p w:rsidR="00793FBA" w:rsidRPr="00793FBA" w:rsidRDefault="00793FBA" w:rsidP="00793FBA">
      <w:pPr>
        <w:pStyle w:val="Akapitzlist"/>
        <w:numPr>
          <w:ilvl w:val="0"/>
          <w:numId w:val="3"/>
        </w:numPr>
        <w:tabs>
          <w:tab w:val="left" w:pos="709"/>
        </w:tabs>
        <w:spacing w:after="120" w:line="360" w:lineRule="auto"/>
        <w:ind w:left="993" w:hanging="284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</w:rPr>
        <w:t xml:space="preserve">Przygotowanie Zespołu – w ramach przygotowania Zespołu do wykonywania powierzonych im zadań, członkowie Zespołu obowiązkowo przechodzą szkolenia organizowane przez Ministerstwo obejmujące 4 moduły tematyczne: dostępność w rewitalizacji, zarządzanie i włączenie społeczne, wykorzystanie narzędzi ustawowych, monitorowanie i ewaluacja działań rewitalizacyjnych. </w:t>
      </w:r>
      <w:r w:rsidRPr="00793FBA">
        <w:rPr>
          <w:rFonts w:asciiTheme="minorHAnsi" w:hAnsiTheme="minorHAnsi" w:cs="Arial"/>
          <w:color w:val="000000"/>
        </w:rPr>
        <w:t xml:space="preserve">Planowane szkolenia dla Zespołów mają za zadanie wyrównać poziom wiedzy pomiędzy członkami Zespołów i ujednolicić podejście do kluczowych kwestii. </w:t>
      </w:r>
    </w:p>
    <w:p w:rsidR="00793FBA" w:rsidRPr="00793FBA" w:rsidRDefault="00793FBA" w:rsidP="00793FBA">
      <w:pPr>
        <w:pStyle w:val="Akapitzlist"/>
        <w:tabs>
          <w:tab w:val="left" w:pos="709"/>
        </w:tabs>
        <w:spacing w:after="120" w:line="360" w:lineRule="auto"/>
        <w:ind w:left="993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</w:rPr>
        <w:t xml:space="preserve">Szczegółowy harmonogram szkoleń zostanie udostępniony przez Ministerstwo po podpisaniu umowy na realizację Zadania. Dodatkowo w ramach wsparcia prac Zespołu, Ministerstwo organizować będzie spotkania służące nawiązaniu stałej współpracy członków Zespołów ds. rewitalizacji na poziomie regionalnym, w tym wymianie informacji, dobrych praktyk czy </w:t>
      </w:r>
      <w:proofErr w:type="spellStart"/>
      <w:r w:rsidRPr="00793FBA">
        <w:rPr>
          <w:rFonts w:asciiTheme="minorHAnsi" w:hAnsiTheme="minorHAnsi" w:cs="Arial"/>
        </w:rPr>
        <w:t>uspójnienia</w:t>
      </w:r>
      <w:proofErr w:type="spellEnd"/>
      <w:r w:rsidRPr="00793FBA">
        <w:rPr>
          <w:rFonts w:asciiTheme="minorHAnsi" w:hAnsiTheme="minorHAnsi" w:cs="Arial"/>
        </w:rPr>
        <w:t xml:space="preserve"> stanowiska do problematycznych kwestii związanych z realizacją Zadania. Efektem dodanym zadania będzie powstanie platformy współpracy z regionami w zakresie rewitalizacji. </w:t>
      </w:r>
    </w:p>
    <w:p w:rsidR="00793FBA" w:rsidRPr="00793FBA" w:rsidRDefault="00793FBA" w:rsidP="00793FBA">
      <w:pPr>
        <w:pStyle w:val="Akapitzlist"/>
        <w:numPr>
          <w:ilvl w:val="0"/>
          <w:numId w:val="3"/>
        </w:numPr>
        <w:tabs>
          <w:tab w:val="left" w:pos="709"/>
        </w:tabs>
        <w:spacing w:after="120" w:line="360" w:lineRule="auto"/>
        <w:ind w:left="993" w:hanging="284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</w:rPr>
        <w:t xml:space="preserve">Zadania Zespołu: </w:t>
      </w:r>
    </w:p>
    <w:p w:rsidR="00793FBA" w:rsidRPr="00793FBA" w:rsidRDefault="00793FBA" w:rsidP="00793FBA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</w:rPr>
        <w:t xml:space="preserve">koordynacja działań związanych z rewitalizacją w regionie – </w:t>
      </w:r>
      <w:proofErr w:type="gramStart"/>
      <w:r w:rsidRPr="00793FBA">
        <w:rPr>
          <w:rFonts w:asciiTheme="minorHAnsi" w:hAnsiTheme="minorHAnsi" w:cs="Arial"/>
        </w:rPr>
        <w:t>rozumiana jako</w:t>
      </w:r>
      <w:proofErr w:type="gramEnd"/>
      <w:r w:rsidRPr="00793FBA">
        <w:rPr>
          <w:rFonts w:asciiTheme="minorHAnsi" w:hAnsiTheme="minorHAnsi" w:cs="Arial"/>
        </w:rPr>
        <w:t xml:space="preserve"> koordynacja działań objętych Zadaniem z działaniami planowanymi i wdrażanymi przez urząd marszałkowski w zakresie rewitalizacji;</w:t>
      </w:r>
    </w:p>
    <w:p w:rsidR="00793FBA" w:rsidRPr="00793FBA" w:rsidRDefault="00793FBA" w:rsidP="00793FBA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lastRenderedPageBreak/>
        <w:t>merytoryczne</w:t>
      </w:r>
      <w:proofErr w:type="gramEnd"/>
      <w:r w:rsidRPr="00793FBA">
        <w:rPr>
          <w:rFonts w:asciiTheme="minorHAnsi" w:hAnsiTheme="minorHAnsi" w:cs="Arial"/>
        </w:rPr>
        <w:t xml:space="preserve"> przygotowanie i przeprowadzenie spotkań edukacyjnych dla gmin z terenu województwa obejmujące obligatoryjnie 4 moduły tematyczne: dostępność w rewitalizacji, zarządzanie i włączenie społeczne, wykorzystanie narzędzi ustawowych, monitorowanie i ewaluacja działań rewitalizacyjnych. </w:t>
      </w:r>
    </w:p>
    <w:p w:rsidR="00793FBA" w:rsidRPr="00793FBA" w:rsidRDefault="00793FBA" w:rsidP="00793FBA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t>wsparcie</w:t>
      </w:r>
      <w:proofErr w:type="gramEnd"/>
      <w:r w:rsidRPr="00793FBA">
        <w:rPr>
          <w:rFonts w:asciiTheme="minorHAnsi" w:hAnsiTheme="minorHAnsi" w:cs="Arial"/>
        </w:rPr>
        <w:t xml:space="preserve"> doradcze gmin z terenu województwa w zakresie przygotowania prawidłowego programu rewitalizacji i jego wdrażania, w tym m.in. w przekształcaniu programów rewitalizacji w gminne programy rewitalizacji, wzmacnianiu potencjału społeczności lokalnych do realizacji działań rewitalizacyjnych,</w:t>
      </w:r>
    </w:p>
    <w:p w:rsidR="00793FBA" w:rsidRPr="00793FBA" w:rsidRDefault="00793FBA" w:rsidP="00793FBA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t>wypracowanie</w:t>
      </w:r>
      <w:proofErr w:type="gramEnd"/>
      <w:r w:rsidRPr="00793FBA">
        <w:rPr>
          <w:rFonts w:asciiTheme="minorHAnsi" w:hAnsiTheme="minorHAnsi" w:cs="Arial"/>
        </w:rPr>
        <w:t xml:space="preserve"> systemu monitorowania rewitalizacji w regionie (działanie fakultatywne) i w gminach(działanie obligatoryjne) – działanie realizowane we współpracy z Ministerstwem,</w:t>
      </w:r>
    </w:p>
    <w:p w:rsidR="00793FBA" w:rsidRPr="00793FBA" w:rsidRDefault="00793FBA" w:rsidP="00793FBA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t>promocja</w:t>
      </w:r>
      <w:proofErr w:type="gramEnd"/>
      <w:r w:rsidRPr="00793FBA">
        <w:rPr>
          <w:rFonts w:asciiTheme="minorHAnsi" w:hAnsiTheme="minorHAnsi" w:cs="Arial"/>
        </w:rPr>
        <w:t xml:space="preserve"> modeli działań rewitalizacyjnych wypracowanych przez miasta w ramach konkursu Modelowa Rewitalizacja Miast i projektów pilotażowych w zakresie rewitalizacji oraz Krajowego Centrum Wiedzy o Rewitalizacji (</w:t>
      </w:r>
      <w:hyperlink r:id="rId7" w:history="1">
        <w:r w:rsidRPr="00793FBA">
          <w:rPr>
            <w:rStyle w:val="Hipercze"/>
            <w:rFonts w:asciiTheme="minorHAnsi" w:hAnsiTheme="minorHAnsi" w:cs="Arial"/>
          </w:rPr>
          <w:t>www.rewitalizacja.gov.pl</w:t>
        </w:r>
      </w:hyperlink>
      <w:r w:rsidRPr="00793FBA">
        <w:rPr>
          <w:rFonts w:asciiTheme="minorHAnsi" w:hAnsiTheme="minorHAnsi" w:cs="Arial"/>
        </w:rPr>
        <w:t>) – działanie realizowane we współpracy z Ministerstwem,</w:t>
      </w:r>
    </w:p>
    <w:p w:rsidR="00793FBA" w:rsidRPr="00793FBA" w:rsidRDefault="00793FBA" w:rsidP="00793FBA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t>prowadzenie</w:t>
      </w:r>
      <w:proofErr w:type="gramEnd"/>
      <w:r w:rsidRPr="00793FBA">
        <w:rPr>
          <w:rFonts w:asciiTheme="minorHAnsi" w:hAnsiTheme="minorHAnsi" w:cs="Arial"/>
        </w:rPr>
        <w:t xml:space="preserve"> regionalnego serwisu internetowego poświęconego rewitalizacji, zawierającego podstawowe informacje, jak i popularyzującego i promującego działania rewitalizacyjne, tj. podstawy prawne, aktualny wykaz programów rewitalizacji, informacja o realizowanym wsparciu dla gmin, system monitorowania rewitalizacji w regionie i gminach, źródła finansowania działań rewitalizacyjnych, publikacje,</w:t>
      </w:r>
    </w:p>
    <w:p w:rsidR="00793FBA" w:rsidRPr="00793FBA" w:rsidRDefault="00793FBA" w:rsidP="00793FBA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t>wypracowanie</w:t>
      </w:r>
      <w:proofErr w:type="gramEnd"/>
      <w:r w:rsidRPr="00793FBA">
        <w:rPr>
          <w:rFonts w:asciiTheme="minorHAnsi" w:hAnsiTheme="minorHAnsi" w:cs="Arial"/>
        </w:rPr>
        <w:t xml:space="preserve"> regionalnej polityki rewitalizacyjnej województwa</w:t>
      </w:r>
      <w:r w:rsidRPr="00793FBA">
        <w:rPr>
          <w:rFonts w:asciiTheme="minorHAnsi" w:hAnsiTheme="minorHAnsi"/>
        </w:rPr>
        <w:t xml:space="preserve"> – </w:t>
      </w:r>
      <w:r w:rsidRPr="00793FBA">
        <w:rPr>
          <w:rFonts w:asciiTheme="minorHAnsi" w:hAnsiTheme="minorHAnsi" w:cs="Arial"/>
        </w:rPr>
        <w:t>działanie realizowane ze wsparciem ze strony ekspertów zewnętrznych oraz we współpracy z Ministerstwem. Wypracowany dokument wymaga akceptacji ze strony Ministerstwa. Działanie fakultatywne dla regionów, które mają potrzebę stworzenia regionalnej polityki rewitalizacji dostosowanej do lokalnych możliwości i potencjałów.</w:t>
      </w:r>
    </w:p>
    <w:p w:rsidR="00793FBA" w:rsidRPr="00793FBA" w:rsidRDefault="00793FBA" w:rsidP="00793FBA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  <w:u w:val="single"/>
        </w:rPr>
        <w:t xml:space="preserve">Przeprowadzenie spotkań edukacyjnych dla gmin </w:t>
      </w:r>
    </w:p>
    <w:p w:rsidR="00793FBA" w:rsidRPr="00793FBA" w:rsidRDefault="00793FBA" w:rsidP="00793FBA">
      <w:pPr>
        <w:pStyle w:val="Akapitzlist"/>
        <w:spacing w:after="120" w:line="360" w:lineRule="auto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</w:rPr>
        <w:lastRenderedPageBreak/>
        <w:t xml:space="preserve">Przez spotkania edukacyjne rozumie się różne formy podnoszenia kompetencji realizowane w ramach spotkań, szkoleń, seminariów, warsztatów (teoretyczno-praktycznych), krajowych wizyt studyjnych z zakresu czterech obligatoryjnych modułów tematycznych. </w:t>
      </w:r>
    </w:p>
    <w:p w:rsidR="00793FBA" w:rsidRPr="00793FBA" w:rsidRDefault="00793FBA" w:rsidP="00793FBA">
      <w:pPr>
        <w:pStyle w:val="Akapitzlist"/>
        <w:spacing w:after="120" w:line="360" w:lineRule="auto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</w:rPr>
        <w:t xml:space="preserve">Adresatem spotkań edukacyjnych są przedstawiciele gmin z danego województwa, tj. </w:t>
      </w:r>
      <w:proofErr w:type="gramStart"/>
      <w:r w:rsidRPr="00793FBA">
        <w:rPr>
          <w:rFonts w:asciiTheme="minorHAnsi" w:hAnsiTheme="minorHAnsi" w:cs="Arial"/>
        </w:rPr>
        <w:t>gmin których</w:t>
      </w:r>
      <w:proofErr w:type="gramEnd"/>
      <w:r w:rsidRPr="00793FBA">
        <w:rPr>
          <w:rFonts w:asciiTheme="minorHAnsi" w:hAnsiTheme="minorHAnsi" w:cs="Arial"/>
        </w:rPr>
        <w:t xml:space="preserve"> programy rewitalizacji ujęte są w wykazie programów rewitalizacji oraz gminy, które zadeklarują realizację działań rewitalizacyjnych w przyszłości. W spotkaniach edukacyjnych, oprócz przedstawicieli urzędów gminnych, możliwy jest udział członków Komitetów Rewitalizacji lub innych podmiotów zaangażowanych w koordynację programu rewitalizacji danej gminy, zgodnie z zapisami programu rewitalizacji. Rekomendowane jest przeszkolenie kilku osób z jednej gminy. W spotkaniach w imieniu gmin nie mogą brać udziału podmioty zewnętrzne. </w:t>
      </w:r>
    </w:p>
    <w:p w:rsidR="00793FBA" w:rsidRPr="00793FBA" w:rsidRDefault="00793FBA" w:rsidP="00793FBA">
      <w:pPr>
        <w:pStyle w:val="Akapitzlist"/>
        <w:spacing w:after="120" w:line="360" w:lineRule="auto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</w:rPr>
        <w:t>Program spotkań edukacyjnych oparty jest o materiał szkoleniowy udostępniony podczas szkoleń dla członków Zespołu ds. rewitalizacji organizowanych przez Ministerstwo oraz dostosowany do stopnia zaawansowania gmin z danego województwa w realizacji działań rewitalizacyjnych. Przewiduje się możliwość zaangażowania ekspertów zewnętrznych do wsparcia członków Zespołu w realizacji spotkań edukacyjnych.</w:t>
      </w:r>
    </w:p>
    <w:p w:rsidR="00793FBA" w:rsidRPr="00793FBA" w:rsidRDefault="00793FBA" w:rsidP="00793FBA">
      <w:pPr>
        <w:pStyle w:val="Akapitzlist"/>
        <w:spacing w:after="120" w:line="360" w:lineRule="auto"/>
        <w:jc w:val="both"/>
        <w:rPr>
          <w:rFonts w:asciiTheme="minorHAnsi" w:hAnsiTheme="minorHAnsi" w:cs="Arial"/>
          <w:color w:val="FF0000"/>
        </w:rPr>
      </w:pPr>
      <w:r w:rsidRPr="00793FBA">
        <w:rPr>
          <w:rFonts w:asciiTheme="minorHAnsi" w:hAnsiTheme="minorHAnsi" w:cs="Arial"/>
        </w:rPr>
        <w:t xml:space="preserve">Województwo zobowiązane jest przeprowadzić minimum 3 spotkania edukacyjne w każdym z modułów tematycznych, jednak łącznie minimum 16 </w:t>
      </w:r>
      <w:r w:rsidRPr="00793FBA">
        <w:rPr>
          <w:rFonts w:asciiTheme="minorHAnsi" w:hAnsiTheme="minorHAnsi" w:cs="Arial"/>
          <w:color w:val="FF0000"/>
        </w:rPr>
        <w:t xml:space="preserve">spotkań, w </w:t>
      </w:r>
      <w:proofErr w:type="gramStart"/>
      <w:r w:rsidRPr="00793FBA">
        <w:rPr>
          <w:rFonts w:asciiTheme="minorHAnsi" w:hAnsiTheme="minorHAnsi" w:cs="Arial"/>
          <w:color w:val="FF0000"/>
        </w:rPr>
        <w:t>zróżnicowanych  formach</w:t>
      </w:r>
      <w:proofErr w:type="gramEnd"/>
      <w:r w:rsidRPr="00793FBA">
        <w:rPr>
          <w:rFonts w:asciiTheme="minorHAnsi" w:hAnsiTheme="minorHAnsi" w:cs="Arial"/>
          <w:color w:val="FF0000"/>
        </w:rPr>
        <w:t xml:space="preserve"> szkoleniowych dostosowanych do sytuacji epidemicznej w kraju i potrzeb zgłaszanych przez gminy.</w:t>
      </w:r>
    </w:p>
    <w:p w:rsidR="00793FBA" w:rsidRPr="00793FBA" w:rsidRDefault="00793FBA" w:rsidP="00793FBA">
      <w:pPr>
        <w:spacing w:after="120" w:line="360" w:lineRule="auto"/>
        <w:ind w:left="720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</w:rPr>
        <w:t xml:space="preserve">Intencją </w:t>
      </w:r>
      <w:proofErr w:type="gramStart"/>
      <w:r w:rsidRPr="00793FBA">
        <w:rPr>
          <w:rFonts w:asciiTheme="minorHAnsi" w:hAnsiTheme="minorHAnsi" w:cs="Arial"/>
        </w:rPr>
        <w:t>jest aby</w:t>
      </w:r>
      <w:proofErr w:type="gramEnd"/>
      <w:r w:rsidRPr="00793FBA">
        <w:rPr>
          <w:rFonts w:asciiTheme="minorHAnsi" w:hAnsiTheme="minorHAnsi" w:cs="Arial"/>
        </w:rPr>
        <w:t xml:space="preserve"> przeszkolić jak najwięcej gmin w każdym województwie i aby każda gmina biorąca udział w spotkaniach edukacyjnych była przeszkolona ze wszystkich 4 modułów szkoleniowych, minimalny poziom to 2 moduły szkoleniowe.</w:t>
      </w:r>
    </w:p>
    <w:p w:rsidR="00793FBA" w:rsidRPr="00793FBA" w:rsidRDefault="00793FBA" w:rsidP="00793FBA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Theme="minorHAnsi" w:hAnsiTheme="minorHAnsi" w:cs="Arial"/>
          <w:u w:val="single"/>
        </w:rPr>
      </w:pPr>
      <w:r w:rsidRPr="00793FBA">
        <w:rPr>
          <w:rFonts w:asciiTheme="minorHAnsi" w:hAnsiTheme="minorHAnsi" w:cs="Arial"/>
          <w:u w:val="single"/>
        </w:rPr>
        <w:t>Wsparcie doradcze dla gmin z terenu województwa</w:t>
      </w:r>
    </w:p>
    <w:p w:rsidR="00793FBA" w:rsidRPr="00793FBA" w:rsidRDefault="00793FBA" w:rsidP="00793FBA">
      <w:pPr>
        <w:pStyle w:val="Akapitzlist"/>
        <w:spacing w:after="120" w:line="360" w:lineRule="auto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</w:rPr>
        <w:t xml:space="preserve">Indywidualne wsparcie dla gmin dotyczące zakresu przygotowania prawidłowego programu rewitalizacji oraz jego wdrażania, realizowane np. w formie dyżurów, konsultacji </w:t>
      </w:r>
      <w:r w:rsidRPr="00793FBA">
        <w:rPr>
          <w:rFonts w:asciiTheme="minorHAnsi" w:hAnsiTheme="minorHAnsi" w:cs="Arial"/>
        </w:rPr>
        <w:lastRenderedPageBreak/>
        <w:t xml:space="preserve">indywidualnych z przedstawicielami gminy, doradztwa prawnego i specjalistycznego dla gmin, warsztatów. Przewiduje się możliwość zaangażowania ekspertów zewnętrznych do wsparcia członków Zespołu w realizacji działań doradczych dla gmin. </w:t>
      </w:r>
    </w:p>
    <w:p w:rsidR="00793FBA" w:rsidRPr="00793FBA" w:rsidRDefault="00793FBA" w:rsidP="00793FBA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Theme="minorHAnsi" w:hAnsiTheme="minorHAnsi" w:cs="Arial"/>
          <w:u w:val="single"/>
        </w:rPr>
      </w:pPr>
      <w:r w:rsidRPr="00793FBA">
        <w:rPr>
          <w:rFonts w:asciiTheme="minorHAnsi" w:hAnsiTheme="minorHAnsi" w:cs="Arial"/>
          <w:u w:val="single"/>
        </w:rPr>
        <w:t>Monitorowanie rewitalizacji</w:t>
      </w:r>
    </w:p>
    <w:p w:rsidR="00793FBA" w:rsidRPr="00793FBA" w:rsidRDefault="00793FBA" w:rsidP="00793FBA">
      <w:pPr>
        <w:spacing w:before="120" w:after="120" w:line="360" w:lineRule="auto"/>
        <w:ind w:left="708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</w:rPr>
        <w:t xml:space="preserve">Wypracowanie systemu monitorowania rewitalizacji na dwóch poziomach: regionalnym oraz gminnym. </w:t>
      </w:r>
    </w:p>
    <w:p w:rsidR="00793FBA" w:rsidRPr="00793FBA" w:rsidRDefault="00793FBA" w:rsidP="00793FBA">
      <w:pPr>
        <w:pStyle w:val="Akapitzlist"/>
        <w:numPr>
          <w:ilvl w:val="0"/>
          <w:numId w:val="12"/>
        </w:numPr>
        <w:spacing w:before="120" w:after="120" w:line="360" w:lineRule="auto"/>
        <w:ind w:left="993" w:hanging="284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</w:rPr>
        <w:t xml:space="preserve">Poziom regionalny – uzupełnienie Systemu Informacji Przestrzennej danego województwa o informacje związane z rewitalizacją w oparciu o prowadzone wykazy programów rewitalizacji. </w:t>
      </w:r>
      <w:proofErr w:type="spellStart"/>
      <w:r w:rsidRPr="00793FBA">
        <w:rPr>
          <w:rFonts w:asciiTheme="minorHAnsi" w:hAnsiTheme="minorHAnsi" w:cs="Arial"/>
        </w:rPr>
        <w:t>Uspójnienie</w:t>
      </w:r>
      <w:proofErr w:type="spellEnd"/>
      <w:r w:rsidRPr="00793FBA">
        <w:rPr>
          <w:rFonts w:asciiTheme="minorHAnsi" w:hAnsiTheme="minorHAnsi" w:cs="Arial"/>
        </w:rPr>
        <w:t xml:space="preserve"> zakresów prowadzonych wykazów rewitalizacji w połączeniu z ich prezentacją przestrzenną, pozwoli na monitorowanie procesów rewitalizacji w regionach i docelowo w kontekście całego kraju, w celu bieżącej oceny skali działań rewitalizacyjnych. Działanie fakultatywne – ze względu na zróżnicowany poziom zawansowania regionów w zakresie rozbudowy SIP, nie jest możliwa realizacja działania w takim samym zakresie w każdym regionie. </w:t>
      </w:r>
    </w:p>
    <w:p w:rsidR="00793FBA" w:rsidRPr="00793FBA" w:rsidRDefault="00793FBA" w:rsidP="00793FBA">
      <w:pPr>
        <w:pStyle w:val="Akapitzlist"/>
        <w:numPr>
          <w:ilvl w:val="0"/>
          <w:numId w:val="12"/>
        </w:numPr>
        <w:spacing w:before="120" w:after="120" w:line="360" w:lineRule="auto"/>
        <w:ind w:left="993" w:hanging="284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</w:rPr>
        <w:t xml:space="preserve">Poziom gminny – jednocześnie Zespół będzie wspierał gminy w prowadzeniu monitoringu, ewaluacji programów rewitalizacji a także rozwoju lokalnego, m.in. w oparciu o materiały wypracowane przez Ministerstwo i udostępnione podczas szkoleń na etapie przygotowania Zespołu. Wsparcie obejmować będzie w szczególności wsparcie szkoleniowe i doradcze, prezentację dobrych praktyk i standardów monitorowania.   </w:t>
      </w:r>
    </w:p>
    <w:p w:rsidR="00793FBA" w:rsidRPr="00793FBA" w:rsidRDefault="00793FBA" w:rsidP="00793FBA">
      <w:pPr>
        <w:pStyle w:val="Akapitzlist"/>
        <w:numPr>
          <w:ilvl w:val="0"/>
          <w:numId w:val="1"/>
        </w:numPr>
        <w:spacing w:before="120" w:after="120" w:line="360" w:lineRule="auto"/>
        <w:rPr>
          <w:rFonts w:asciiTheme="minorHAnsi" w:hAnsiTheme="minorHAnsi" w:cs="Arial"/>
          <w:b/>
          <w:bCs/>
        </w:rPr>
      </w:pPr>
      <w:r w:rsidRPr="00793FBA">
        <w:rPr>
          <w:rFonts w:asciiTheme="minorHAnsi" w:hAnsiTheme="minorHAnsi" w:cs="Arial"/>
          <w:b/>
          <w:bCs/>
        </w:rPr>
        <w:t>Kwalifikowalność wydatków</w:t>
      </w:r>
    </w:p>
    <w:p w:rsidR="00793FBA" w:rsidRPr="00793FBA" w:rsidRDefault="00793FBA" w:rsidP="00793FBA">
      <w:pPr>
        <w:pStyle w:val="Akapitzlist"/>
        <w:numPr>
          <w:ilvl w:val="0"/>
          <w:numId w:val="2"/>
        </w:numPr>
        <w:tabs>
          <w:tab w:val="clear" w:pos="1068"/>
        </w:tabs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</w:rPr>
        <w:t>Za koszty kwalifikowalne uznane zostaną wydatki spełniające łącznie następujące warunki:</w:t>
      </w:r>
    </w:p>
    <w:p w:rsidR="00793FBA" w:rsidRPr="00793FBA" w:rsidRDefault="00793FBA" w:rsidP="00793FBA">
      <w:pPr>
        <w:numPr>
          <w:ilvl w:val="0"/>
          <w:numId w:val="4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t>są</w:t>
      </w:r>
      <w:proofErr w:type="gramEnd"/>
      <w:r w:rsidRPr="00793FBA">
        <w:rPr>
          <w:rFonts w:asciiTheme="minorHAnsi" w:hAnsiTheme="minorHAnsi" w:cs="Arial"/>
        </w:rPr>
        <w:t xml:space="preserve"> niezbędne do realizacji Zadania;</w:t>
      </w:r>
    </w:p>
    <w:p w:rsidR="00793FBA" w:rsidRPr="00793FBA" w:rsidRDefault="00793FBA" w:rsidP="00793FBA">
      <w:pPr>
        <w:numPr>
          <w:ilvl w:val="0"/>
          <w:numId w:val="4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t>dokonywane</w:t>
      </w:r>
      <w:proofErr w:type="gramEnd"/>
      <w:r w:rsidRPr="00793FBA">
        <w:rPr>
          <w:rFonts w:asciiTheme="minorHAnsi" w:hAnsiTheme="minorHAnsi" w:cs="Arial"/>
        </w:rPr>
        <w:t xml:space="preserve"> są przy zachowaniu zasady efektywności kosztowej, czyli zapewniające realizację zadań na wysokim poziomie merytorycznym przy optymalnym wykorzystaniu zasobów finansowych;</w:t>
      </w:r>
    </w:p>
    <w:p w:rsidR="00793FBA" w:rsidRPr="00793FBA" w:rsidRDefault="00793FBA" w:rsidP="00793FBA">
      <w:pPr>
        <w:numPr>
          <w:ilvl w:val="0"/>
          <w:numId w:val="4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lastRenderedPageBreak/>
        <w:t>poniesione</w:t>
      </w:r>
      <w:proofErr w:type="gramEnd"/>
      <w:r w:rsidRPr="00793FBA">
        <w:rPr>
          <w:rFonts w:asciiTheme="minorHAnsi" w:hAnsiTheme="minorHAnsi" w:cs="Arial"/>
        </w:rPr>
        <w:t xml:space="preserve"> zostaną przez Województwo w terminie realizacji Zadania wskazanym w Umowie dotacji;</w:t>
      </w:r>
    </w:p>
    <w:p w:rsidR="00793FBA" w:rsidRPr="00793FBA" w:rsidRDefault="00793FBA" w:rsidP="00793FBA">
      <w:pPr>
        <w:numPr>
          <w:ilvl w:val="0"/>
          <w:numId w:val="4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t>wykazane</w:t>
      </w:r>
      <w:proofErr w:type="gramEnd"/>
      <w:r w:rsidRPr="00793FBA">
        <w:rPr>
          <w:rFonts w:asciiTheme="minorHAnsi" w:hAnsiTheme="minorHAnsi" w:cs="Arial"/>
        </w:rPr>
        <w:t xml:space="preserve"> będą w dokumentacji księgowej Województwa, w sposób umożliwiający ich zidentyfikowanie i weryfikację;</w:t>
      </w:r>
    </w:p>
    <w:p w:rsidR="00793FBA" w:rsidRPr="00793FBA" w:rsidRDefault="00793FBA" w:rsidP="00793FBA">
      <w:pPr>
        <w:numPr>
          <w:ilvl w:val="0"/>
          <w:numId w:val="4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t>zostaną</w:t>
      </w:r>
      <w:proofErr w:type="gramEnd"/>
      <w:r w:rsidRPr="00793FBA">
        <w:rPr>
          <w:rFonts w:asciiTheme="minorHAnsi" w:hAnsiTheme="minorHAnsi" w:cs="Arial"/>
        </w:rPr>
        <w:t xml:space="preserve"> potwierdzone oryginałami stosownych dokumentów.</w:t>
      </w:r>
    </w:p>
    <w:p w:rsidR="00793FBA" w:rsidRPr="00793FBA" w:rsidRDefault="00793FBA" w:rsidP="00793FBA">
      <w:pPr>
        <w:pStyle w:val="Tekstpodstawowy2"/>
        <w:numPr>
          <w:ilvl w:val="0"/>
          <w:numId w:val="2"/>
        </w:numPr>
        <w:tabs>
          <w:tab w:val="clear" w:pos="1068"/>
          <w:tab w:val="num" w:pos="426"/>
        </w:tabs>
        <w:spacing w:after="120"/>
        <w:ind w:left="426" w:hanging="426"/>
        <w:rPr>
          <w:rFonts w:asciiTheme="minorHAnsi" w:hAnsiTheme="minorHAnsi" w:cs="Arial"/>
          <w:sz w:val="22"/>
          <w:szCs w:val="22"/>
        </w:rPr>
      </w:pPr>
      <w:r w:rsidRPr="00793FBA">
        <w:rPr>
          <w:rFonts w:asciiTheme="minorHAnsi" w:hAnsiTheme="minorHAnsi" w:cs="Arial"/>
          <w:sz w:val="22"/>
          <w:szCs w:val="22"/>
        </w:rPr>
        <w:t xml:space="preserve">Za koszty kwalifikowalne zostaną uznane wydatki poniesione zgodnie z </w:t>
      </w:r>
      <w:r w:rsidRPr="00793FBA">
        <w:rPr>
          <w:rFonts w:asciiTheme="minorHAnsi" w:hAnsiTheme="minorHAnsi" w:cs="Arial"/>
          <w:iCs/>
          <w:sz w:val="22"/>
          <w:szCs w:val="22"/>
        </w:rPr>
        <w:t xml:space="preserve">Wytycznymi w zakresie wykorzystania środków pomocy technicznej na lata 2014-2020 </w:t>
      </w:r>
      <w:r w:rsidRPr="00793FBA">
        <w:rPr>
          <w:rFonts w:asciiTheme="minorHAnsi" w:hAnsiTheme="minorHAnsi" w:cs="Arial"/>
          <w:sz w:val="22"/>
          <w:szCs w:val="22"/>
        </w:rPr>
        <w:t xml:space="preserve">oraz </w:t>
      </w:r>
      <w:r w:rsidRPr="00793FBA">
        <w:rPr>
          <w:rFonts w:asciiTheme="minorHAnsi" w:hAnsiTheme="minorHAnsi" w:cs="Arial"/>
          <w:iCs/>
          <w:sz w:val="22"/>
          <w:szCs w:val="22"/>
        </w:rPr>
        <w:t>Wytycznymi w zakresie kwalifikowalności wydatków w ramach Europejskiego Funduszu Rozwoju Regionalnego, Europejskiego Funduszu Społecznego oraz Funduszu Spójności na lata 2014-2020</w:t>
      </w:r>
      <w:r w:rsidRPr="00793FBA">
        <w:rPr>
          <w:rFonts w:asciiTheme="minorHAnsi" w:hAnsiTheme="minorHAnsi" w:cs="Arial"/>
          <w:sz w:val="22"/>
          <w:szCs w:val="22"/>
        </w:rPr>
        <w:t>;</w:t>
      </w:r>
    </w:p>
    <w:p w:rsidR="00793FBA" w:rsidRPr="00793FBA" w:rsidRDefault="00793FBA" w:rsidP="00793FBA">
      <w:pPr>
        <w:pStyle w:val="Tekstpodstawowy2"/>
        <w:numPr>
          <w:ilvl w:val="0"/>
          <w:numId w:val="2"/>
        </w:numPr>
        <w:tabs>
          <w:tab w:val="clear" w:pos="1068"/>
          <w:tab w:val="num" w:pos="426"/>
        </w:tabs>
        <w:spacing w:after="120"/>
        <w:ind w:left="426" w:hanging="426"/>
        <w:rPr>
          <w:rFonts w:asciiTheme="minorHAnsi" w:hAnsiTheme="minorHAnsi" w:cs="Arial"/>
          <w:sz w:val="22"/>
          <w:szCs w:val="22"/>
        </w:rPr>
      </w:pPr>
      <w:r w:rsidRPr="00793FBA">
        <w:rPr>
          <w:rFonts w:asciiTheme="minorHAnsi" w:hAnsiTheme="minorHAnsi" w:cs="Arial"/>
          <w:sz w:val="22"/>
          <w:szCs w:val="22"/>
        </w:rPr>
        <w:t>Kosztami kwalifikowalnymi są przede wszystkim:</w:t>
      </w:r>
    </w:p>
    <w:p w:rsidR="00793FBA" w:rsidRPr="00793FBA" w:rsidRDefault="00793FBA" w:rsidP="00793F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t>wynagrodzenie</w:t>
      </w:r>
      <w:proofErr w:type="gramEnd"/>
      <w:r w:rsidRPr="00793FBA">
        <w:rPr>
          <w:rFonts w:asciiTheme="minorHAnsi" w:hAnsiTheme="minorHAnsi" w:cs="Arial"/>
        </w:rPr>
        <w:t xml:space="preserve"> koordynatora merytorycznego Zespołu ds. rewitalizacji,</w:t>
      </w:r>
    </w:p>
    <w:p w:rsidR="00793FBA" w:rsidRPr="00793FBA" w:rsidRDefault="00793FBA" w:rsidP="00793F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t>wynagrodzenia</w:t>
      </w:r>
      <w:proofErr w:type="gramEnd"/>
      <w:r w:rsidRPr="00793FBA">
        <w:rPr>
          <w:rFonts w:asciiTheme="minorHAnsi" w:hAnsiTheme="minorHAnsi" w:cs="Arial"/>
        </w:rPr>
        <w:t xml:space="preserve"> członków Zespołu ds. rewitalizacji,</w:t>
      </w:r>
    </w:p>
    <w:p w:rsidR="00793FBA" w:rsidRPr="00793FBA" w:rsidRDefault="00793FBA" w:rsidP="00793FBA">
      <w:pPr>
        <w:pStyle w:val="Akapitzlist"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Arial"/>
          <w:u w:val="single"/>
        </w:rPr>
      </w:pPr>
      <w:r w:rsidRPr="00793FBA">
        <w:rPr>
          <w:rFonts w:asciiTheme="minorHAnsi" w:hAnsiTheme="minorHAnsi" w:cs="Arial"/>
          <w:u w:val="single"/>
        </w:rPr>
        <w:t xml:space="preserve">Łączna wartość wynagrodzeń (kwoty brutto z pochodnymi pracodawcy), o których mowa w pkt a i b, nie mogą przekroczyć kwoty 250 000 zł w całym okresie realizacji projektu. Wynagrodzenie będzie ponoszone w formie dodatków zadaniowych. </w:t>
      </w:r>
    </w:p>
    <w:p w:rsidR="00793FBA" w:rsidRPr="00793FBA" w:rsidRDefault="00793FBA" w:rsidP="00793F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t>koszty</w:t>
      </w:r>
      <w:proofErr w:type="gramEnd"/>
      <w:r w:rsidRPr="00793FBA">
        <w:rPr>
          <w:rFonts w:asciiTheme="minorHAnsi" w:hAnsiTheme="minorHAnsi" w:cs="Arial"/>
        </w:rPr>
        <w:t xml:space="preserve"> delegacji członków Zespołu ds. rewitalizacji,</w:t>
      </w:r>
    </w:p>
    <w:p w:rsidR="00793FBA" w:rsidRPr="00793FBA" w:rsidRDefault="00793FBA" w:rsidP="00793F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t>wynagrodzenie</w:t>
      </w:r>
      <w:proofErr w:type="gramEnd"/>
      <w:r w:rsidRPr="00793FBA">
        <w:rPr>
          <w:rFonts w:asciiTheme="minorHAnsi" w:hAnsiTheme="minorHAnsi" w:cs="Arial"/>
        </w:rPr>
        <w:t xml:space="preserve"> biegłego rewidenta przeprowadzającego kontrole projektu, zgodnie z postanowieniami Umowy dotacji,</w:t>
      </w:r>
    </w:p>
    <w:p w:rsidR="00793FBA" w:rsidRPr="00793FBA" w:rsidRDefault="00793FBA" w:rsidP="00793F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t>wydatki</w:t>
      </w:r>
      <w:proofErr w:type="gramEnd"/>
      <w:r w:rsidRPr="00793FBA">
        <w:rPr>
          <w:rFonts w:asciiTheme="minorHAnsi" w:hAnsiTheme="minorHAnsi" w:cs="Arial"/>
        </w:rPr>
        <w:t xml:space="preserve"> związane z organizacją spotkań edukacyjnych dla gmin, o których mowa w pkt 3 ust. 2,</w:t>
      </w:r>
    </w:p>
    <w:p w:rsidR="00793FBA" w:rsidRPr="00793FBA" w:rsidRDefault="00793FBA" w:rsidP="00793F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t>wydatki</w:t>
      </w:r>
      <w:proofErr w:type="gramEnd"/>
      <w:r w:rsidRPr="00793FBA">
        <w:rPr>
          <w:rFonts w:asciiTheme="minorHAnsi" w:hAnsiTheme="minorHAnsi" w:cs="Arial"/>
        </w:rPr>
        <w:t xml:space="preserve"> związane z organizacją wsparcia doradczego dla gmin, o których mowa w pkt 3 ust. 3,</w:t>
      </w:r>
    </w:p>
    <w:p w:rsidR="00793FBA" w:rsidRPr="00793FBA" w:rsidRDefault="00793FBA" w:rsidP="00793F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t>wydatki</w:t>
      </w:r>
      <w:proofErr w:type="gramEnd"/>
      <w:r w:rsidRPr="00793FBA">
        <w:rPr>
          <w:rFonts w:asciiTheme="minorHAnsi" w:hAnsiTheme="minorHAnsi" w:cs="Arial"/>
        </w:rPr>
        <w:t xml:space="preserve"> związane z rozwojem Systemu Informacji Przestrzennej, o których mowa w pkt 3 ust. 4,</w:t>
      </w:r>
    </w:p>
    <w:p w:rsidR="00793FBA" w:rsidRPr="00793FBA" w:rsidRDefault="00793FBA" w:rsidP="00793FBA">
      <w:pPr>
        <w:pStyle w:val="Akapitzlist"/>
        <w:numPr>
          <w:ilvl w:val="0"/>
          <w:numId w:val="2"/>
        </w:numPr>
        <w:tabs>
          <w:tab w:val="clear" w:pos="1068"/>
          <w:tab w:val="num" w:pos="426"/>
        </w:tabs>
        <w:autoSpaceDE w:val="0"/>
        <w:autoSpaceDN w:val="0"/>
        <w:adjustRightInd w:val="0"/>
        <w:spacing w:before="120" w:after="120" w:line="360" w:lineRule="auto"/>
        <w:ind w:left="425" w:hanging="425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</w:rPr>
        <w:t>Kosztami kwalifikowalnymi nie są w szczególności:</w:t>
      </w:r>
    </w:p>
    <w:p w:rsidR="00793FBA" w:rsidRPr="00793FBA" w:rsidRDefault="00793FBA" w:rsidP="00793FBA">
      <w:pPr>
        <w:numPr>
          <w:ilvl w:val="0"/>
          <w:numId w:val="6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lastRenderedPageBreak/>
        <w:t>wsparcie</w:t>
      </w:r>
      <w:proofErr w:type="gramEnd"/>
      <w:r w:rsidRPr="00793FBA">
        <w:rPr>
          <w:rFonts w:asciiTheme="minorHAnsi" w:hAnsiTheme="minorHAnsi" w:cs="Arial"/>
        </w:rPr>
        <w:t xml:space="preserve"> finansowe gmin,</w:t>
      </w:r>
    </w:p>
    <w:p w:rsidR="00793FBA" w:rsidRPr="00793FBA" w:rsidRDefault="00793FBA" w:rsidP="00793FBA">
      <w:pPr>
        <w:numPr>
          <w:ilvl w:val="0"/>
          <w:numId w:val="6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t>amortyzacja</w:t>
      </w:r>
      <w:proofErr w:type="gramEnd"/>
      <w:r w:rsidRPr="00793FBA">
        <w:rPr>
          <w:rFonts w:asciiTheme="minorHAnsi" w:hAnsiTheme="minorHAnsi" w:cs="Arial"/>
        </w:rPr>
        <w:t xml:space="preserve"> środków trwałych,</w:t>
      </w:r>
    </w:p>
    <w:p w:rsidR="00793FBA" w:rsidRPr="00793FBA" w:rsidRDefault="00793FBA" w:rsidP="00793FBA">
      <w:pPr>
        <w:numPr>
          <w:ilvl w:val="0"/>
          <w:numId w:val="6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120" w:line="360" w:lineRule="auto"/>
        <w:ind w:left="709" w:hanging="284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t>finansowanie</w:t>
      </w:r>
      <w:proofErr w:type="gramEnd"/>
      <w:r w:rsidRPr="00793FBA">
        <w:rPr>
          <w:rFonts w:asciiTheme="minorHAnsi" w:hAnsiTheme="minorHAnsi" w:cs="Arial"/>
        </w:rPr>
        <w:t xml:space="preserve"> działalności niezwiązanej z realizacją Zadania i poza okresem kwalifikowalności,</w:t>
      </w:r>
    </w:p>
    <w:p w:rsidR="00793FBA" w:rsidRPr="00793FBA" w:rsidRDefault="00793FBA" w:rsidP="00793FBA">
      <w:pPr>
        <w:numPr>
          <w:ilvl w:val="0"/>
          <w:numId w:val="6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t>wydatki</w:t>
      </w:r>
      <w:proofErr w:type="gramEnd"/>
      <w:r w:rsidRPr="00793FBA">
        <w:rPr>
          <w:rFonts w:asciiTheme="minorHAnsi" w:hAnsiTheme="minorHAnsi" w:cs="Arial"/>
        </w:rPr>
        <w:t xml:space="preserve"> sfinansowane z innych źródeł, współfinansowanych ze środków publicznych,</w:t>
      </w:r>
    </w:p>
    <w:p w:rsidR="00793FBA" w:rsidRPr="00793FBA" w:rsidRDefault="00793FBA" w:rsidP="00793FBA">
      <w:pPr>
        <w:numPr>
          <w:ilvl w:val="0"/>
          <w:numId w:val="6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t>zakup</w:t>
      </w:r>
      <w:proofErr w:type="gramEnd"/>
      <w:r w:rsidRPr="00793FBA">
        <w:rPr>
          <w:rFonts w:asciiTheme="minorHAnsi" w:hAnsiTheme="minorHAnsi" w:cs="Arial"/>
        </w:rPr>
        <w:t xml:space="preserve"> i leasing środków trwałych,</w:t>
      </w:r>
    </w:p>
    <w:p w:rsidR="00793FBA" w:rsidRPr="00793FBA" w:rsidRDefault="00793FBA" w:rsidP="00793FBA">
      <w:pPr>
        <w:numPr>
          <w:ilvl w:val="0"/>
          <w:numId w:val="6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t>koszty</w:t>
      </w:r>
      <w:proofErr w:type="gramEnd"/>
      <w:r w:rsidRPr="00793FBA">
        <w:rPr>
          <w:rFonts w:asciiTheme="minorHAnsi" w:hAnsiTheme="minorHAnsi" w:cs="Arial"/>
        </w:rPr>
        <w:t xml:space="preserve"> stałe utrzymania biura (m.in. czynsz, koszty energii, wywozu nieczystości, ogrzewania, wody i ścieków),</w:t>
      </w:r>
    </w:p>
    <w:p w:rsidR="00793FBA" w:rsidRPr="00793FBA" w:rsidRDefault="00793FBA" w:rsidP="00793FBA">
      <w:pPr>
        <w:numPr>
          <w:ilvl w:val="0"/>
          <w:numId w:val="6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t>wyposażenie</w:t>
      </w:r>
      <w:proofErr w:type="gramEnd"/>
      <w:r w:rsidRPr="00793FBA">
        <w:rPr>
          <w:rFonts w:asciiTheme="minorHAnsi" w:hAnsiTheme="minorHAnsi" w:cs="Arial"/>
        </w:rPr>
        <w:t xml:space="preserve"> biura, np. meble,</w:t>
      </w:r>
    </w:p>
    <w:p w:rsidR="00793FBA" w:rsidRPr="00793FBA" w:rsidRDefault="00793FBA" w:rsidP="00793FBA">
      <w:pPr>
        <w:numPr>
          <w:ilvl w:val="0"/>
          <w:numId w:val="6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t>materiały</w:t>
      </w:r>
      <w:proofErr w:type="gramEnd"/>
      <w:r w:rsidRPr="00793FBA">
        <w:rPr>
          <w:rFonts w:asciiTheme="minorHAnsi" w:hAnsiTheme="minorHAnsi" w:cs="Arial"/>
        </w:rPr>
        <w:t xml:space="preserve"> biurowe i eksploatacyjne,</w:t>
      </w:r>
    </w:p>
    <w:p w:rsidR="00793FBA" w:rsidRPr="00793FBA" w:rsidRDefault="00793FBA" w:rsidP="00793FBA">
      <w:pPr>
        <w:numPr>
          <w:ilvl w:val="0"/>
          <w:numId w:val="6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t>sprzęt</w:t>
      </w:r>
      <w:proofErr w:type="gramEnd"/>
      <w:r w:rsidRPr="00793FBA">
        <w:rPr>
          <w:rFonts w:asciiTheme="minorHAnsi" w:hAnsiTheme="minorHAnsi" w:cs="Arial"/>
        </w:rPr>
        <w:t xml:space="preserve"> komputerowy,</w:t>
      </w:r>
    </w:p>
    <w:p w:rsidR="00793FBA" w:rsidRPr="00793FBA" w:rsidRDefault="00793FBA" w:rsidP="00793FBA">
      <w:pPr>
        <w:numPr>
          <w:ilvl w:val="0"/>
          <w:numId w:val="6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120" w:line="360" w:lineRule="auto"/>
        <w:ind w:left="709" w:hanging="283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t>koszty</w:t>
      </w:r>
      <w:proofErr w:type="gramEnd"/>
      <w:r w:rsidRPr="00793FBA">
        <w:rPr>
          <w:rFonts w:asciiTheme="minorHAnsi" w:hAnsiTheme="minorHAnsi" w:cs="Arial"/>
        </w:rPr>
        <w:t xml:space="preserve"> budowy, przebudowy, rozbudowy, remontu,</w:t>
      </w:r>
    </w:p>
    <w:p w:rsidR="00793FBA" w:rsidRPr="00793FBA" w:rsidRDefault="00793FBA" w:rsidP="00793FBA">
      <w:pPr>
        <w:numPr>
          <w:ilvl w:val="0"/>
          <w:numId w:val="6"/>
        </w:numPr>
        <w:tabs>
          <w:tab w:val="clear" w:pos="1068"/>
          <w:tab w:val="num" w:pos="709"/>
        </w:tabs>
        <w:autoSpaceDE w:val="0"/>
        <w:autoSpaceDN w:val="0"/>
        <w:adjustRightInd w:val="0"/>
        <w:spacing w:after="120" w:line="360" w:lineRule="auto"/>
        <w:ind w:left="709" w:hanging="284"/>
        <w:jc w:val="both"/>
        <w:rPr>
          <w:rFonts w:asciiTheme="minorHAnsi" w:hAnsiTheme="minorHAnsi" w:cs="Arial"/>
        </w:rPr>
      </w:pPr>
      <w:proofErr w:type="gramStart"/>
      <w:r w:rsidRPr="00793FBA">
        <w:rPr>
          <w:rFonts w:asciiTheme="minorHAnsi" w:hAnsiTheme="minorHAnsi" w:cs="Arial"/>
        </w:rPr>
        <w:t>podatek</w:t>
      </w:r>
      <w:proofErr w:type="gramEnd"/>
      <w:r w:rsidRPr="00793FBA">
        <w:rPr>
          <w:rFonts w:asciiTheme="minorHAnsi" w:hAnsiTheme="minorHAnsi" w:cs="Arial"/>
        </w:rPr>
        <w:t xml:space="preserve"> od towarów i usług (VAT), jeśli może zostać odzyskany w oparciu o przepisy krajowe, tj. ustawę z dnia 11 marca 2004 r. o podatku od towarów i usług (Dz. U. </w:t>
      </w:r>
      <w:proofErr w:type="gramStart"/>
      <w:r w:rsidRPr="00793FBA">
        <w:rPr>
          <w:rFonts w:asciiTheme="minorHAnsi" w:hAnsiTheme="minorHAnsi" w:cs="Arial"/>
        </w:rPr>
        <w:t>z</w:t>
      </w:r>
      <w:proofErr w:type="gramEnd"/>
      <w:r w:rsidRPr="00793FBA">
        <w:rPr>
          <w:rFonts w:asciiTheme="minorHAnsi" w:hAnsiTheme="minorHAnsi" w:cs="Arial"/>
        </w:rPr>
        <w:t xml:space="preserve"> 2018 r. poz. 2174,z </w:t>
      </w:r>
      <w:proofErr w:type="spellStart"/>
      <w:r w:rsidRPr="00793FBA">
        <w:rPr>
          <w:rFonts w:asciiTheme="minorHAnsi" w:hAnsiTheme="minorHAnsi" w:cs="Arial"/>
        </w:rPr>
        <w:t>późn</w:t>
      </w:r>
      <w:proofErr w:type="spellEnd"/>
      <w:r w:rsidRPr="00793FBA">
        <w:rPr>
          <w:rFonts w:asciiTheme="minorHAnsi" w:hAnsiTheme="minorHAnsi" w:cs="Arial"/>
        </w:rPr>
        <w:t xml:space="preserve">. </w:t>
      </w:r>
      <w:proofErr w:type="gramStart"/>
      <w:r w:rsidRPr="00793FBA">
        <w:rPr>
          <w:rFonts w:asciiTheme="minorHAnsi" w:hAnsiTheme="minorHAnsi" w:cs="Arial"/>
        </w:rPr>
        <w:t>zm</w:t>
      </w:r>
      <w:proofErr w:type="gramEnd"/>
      <w:r w:rsidRPr="00793FBA">
        <w:rPr>
          <w:rFonts w:asciiTheme="minorHAnsi" w:hAnsiTheme="minorHAnsi" w:cs="Arial"/>
        </w:rPr>
        <w:t>.).</w:t>
      </w:r>
    </w:p>
    <w:p w:rsidR="00793FBA" w:rsidRPr="00793FBA" w:rsidRDefault="00793FBA" w:rsidP="00793FBA">
      <w:pPr>
        <w:pStyle w:val="Akapitzlist"/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  <w:b/>
          <w:bCs/>
        </w:rPr>
        <w:t>System płatności i sprawozdawczość</w:t>
      </w:r>
    </w:p>
    <w:p w:rsidR="00793FBA" w:rsidRPr="00793FBA" w:rsidRDefault="00793FBA" w:rsidP="00793FBA">
      <w:pPr>
        <w:spacing w:after="120" w:line="360" w:lineRule="auto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</w:rPr>
        <w:t>Kwota dotacji celowej nie przekroczy 90% kosztów kwalifikowalnych realizacji Zadania. Województwo zobowiązuje się do wniesienia wkładu własnego, wynoszącego minimum 10 % kosztów kwalifikowalnych realizacji Zadania.</w:t>
      </w:r>
    </w:p>
    <w:p w:rsidR="00793FBA" w:rsidRPr="00793FBA" w:rsidRDefault="00793FBA" w:rsidP="00793FBA">
      <w:pPr>
        <w:spacing w:after="120" w:line="360" w:lineRule="auto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</w:rPr>
        <w:t xml:space="preserve">Województwo zgodnie z zapisami Umowy otrzymuje dotację celową w systemie zaliczkowym. Wyjątek stanowi ostatnia transza </w:t>
      </w:r>
      <w:proofErr w:type="gramStart"/>
      <w:r w:rsidRPr="00793FBA">
        <w:rPr>
          <w:rFonts w:asciiTheme="minorHAnsi" w:hAnsiTheme="minorHAnsi" w:cs="Arial"/>
        </w:rPr>
        <w:t>wypłacana jako</w:t>
      </w:r>
      <w:proofErr w:type="gramEnd"/>
      <w:r w:rsidRPr="00793FBA">
        <w:rPr>
          <w:rFonts w:asciiTheme="minorHAnsi" w:hAnsiTheme="minorHAnsi" w:cs="Arial"/>
        </w:rPr>
        <w:t xml:space="preserve"> refundacja poniesionych wydatków. </w:t>
      </w:r>
    </w:p>
    <w:p w:rsidR="00793FBA" w:rsidRPr="00793FBA" w:rsidRDefault="00793FBA" w:rsidP="00793FBA">
      <w:pPr>
        <w:spacing w:after="120" w:line="360" w:lineRule="auto"/>
        <w:jc w:val="both"/>
        <w:rPr>
          <w:rFonts w:asciiTheme="minorHAnsi" w:hAnsiTheme="minorHAnsi" w:cs="Arial"/>
        </w:rPr>
      </w:pPr>
      <w:r w:rsidRPr="00793FBA">
        <w:rPr>
          <w:rFonts w:asciiTheme="minorHAnsi" w:hAnsiTheme="minorHAnsi" w:cs="Arial"/>
        </w:rPr>
        <w:t xml:space="preserve">W sprawozdaniach z realizacji Zadania Województwo przedstawia do rozliczenia wydatki rzeczywiście poniesione w okresie sprawozdawczym. </w:t>
      </w:r>
    </w:p>
    <w:p w:rsidR="00793FBA" w:rsidRPr="00793FBA" w:rsidRDefault="00793FBA" w:rsidP="00793FBA">
      <w:pPr>
        <w:spacing w:after="120" w:line="360" w:lineRule="auto"/>
        <w:jc w:val="both"/>
        <w:rPr>
          <w:rFonts w:asciiTheme="minorHAnsi" w:hAnsiTheme="minorHAnsi" w:cs="Arial"/>
        </w:rPr>
      </w:pPr>
    </w:p>
    <w:p w:rsidR="00793FBA" w:rsidRPr="00793FBA" w:rsidRDefault="00793FBA" w:rsidP="00793FBA">
      <w:pPr>
        <w:spacing w:line="360" w:lineRule="auto"/>
        <w:rPr>
          <w:rFonts w:asciiTheme="minorHAnsi" w:hAnsiTheme="minorHAnsi"/>
        </w:rPr>
      </w:pPr>
    </w:p>
    <w:p w:rsidR="00C26B38" w:rsidRPr="00793FBA" w:rsidRDefault="00C26B38" w:rsidP="00793FBA">
      <w:pPr>
        <w:spacing w:line="360" w:lineRule="auto"/>
        <w:rPr>
          <w:rFonts w:asciiTheme="minorHAnsi" w:hAnsiTheme="minorHAnsi"/>
        </w:rPr>
      </w:pPr>
    </w:p>
    <w:sectPr w:rsidR="00C26B38" w:rsidRPr="00793FBA" w:rsidSect="00416D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DA8" w:rsidRDefault="00672DA8" w:rsidP="00793FBA">
      <w:pPr>
        <w:spacing w:after="0" w:line="240" w:lineRule="auto"/>
      </w:pPr>
      <w:r>
        <w:separator/>
      </w:r>
    </w:p>
  </w:endnote>
  <w:endnote w:type="continuationSeparator" w:id="0">
    <w:p w:rsidR="00672DA8" w:rsidRDefault="00672DA8" w:rsidP="0079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FBA" w:rsidRDefault="00793F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C6" w:rsidRDefault="00793FBA" w:rsidP="00793FBA">
    <w:pPr>
      <w:pStyle w:val="Stopka"/>
      <w:tabs>
        <w:tab w:val="left" w:pos="7501"/>
      </w:tabs>
      <w:jc w:val="right"/>
    </w:pPr>
    <w:r>
      <w:tab/>
    </w:r>
    <w:sdt>
      <w:sdtPr>
        <w:id w:val="1956433417"/>
        <w:docPartObj>
          <w:docPartGallery w:val="Page Numbers (Bottom of Page)"/>
          <w:docPartUnique/>
        </w:docPartObj>
      </w:sdtPr>
      <w:sdtEndPr/>
      <w:sdtContent>
        <w:r w:rsidR="00672DA8">
          <w:fldChar w:fldCharType="begin"/>
        </w:r>
        <w:r w:rsidR="00672DA8">
          <w:instrText>PAGE   \* MERGEFORMAT</w:instrText>
        </w:r>
        <w:r w:rsidR="00672DA8">
          <w:fldChar w:fldCharType="separate"/>
        </w:r>
        <w:r>
          <w:rPr>
            <w:noProof/>
          </w:rPr>
          <w:t>1</w:t>
        </w:r>
        <w:r w:rsidR="00672DA8">
          <w:rPr>
            <w:noProof/>
          </w:rPr>
          <w:fldChar w:fldCharType="end"/>
        </w:r>
      </w:sdtContent>
    </w:sdt>
    <w:r>
      <w:tab/>
    </w:r>
    <w:bookmarkStart w:id="0" w:name="_GoBack"/>
    <w:r>
      <w:rPr>
        <w:noProof/>
        <w:lang w:eastAsia="pl-PL"/>
      </w:rPr>
      <w:drawing>
        <wp:inline distT="0" distB="0" distL="0" distR="0" wp14:anchorId="706FAF8C" wp14:editId="07AE8347">
          <wp:extent cx="1133858" cy="448057"/>
          <wp:effectExtent l="0" t="0" r="0" b="9525"/>
          <wp:docPr id="13" name="Obraz 13" descr="Urząd Marszałkowski Województwa Świętokrzyskiego&#10;Departament Inwestycji i Rozwoju&#10;ulica Sienkiewicza 63, 25-002 Kielce&#10;telefon 41 365 81 00, 41 365 81 70&#10;fax 41 365 81 01&#10;e-mail sekretariat.I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ws_ir_stopka_sienkiewicza_6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858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5379C6" w:rsidRDefault="00672DA8" w:rsidP="0072218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83B35FD" wp14:editId="3292EF2C">
          <wp:extent cx="5760720" cy="619760"/>
          <wp:effectExtent l="0" t="0" r="0" b="8890"/>
          <wp:docPr id="2" name="Obraz 1" descr="FE POPT+UE czarno-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POPT+UE czarno-biał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FBA" w:rsidRDefault="00793F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DA8" w:rsidRDefault="00672DA8" w:rsidP="00793FBA">
      <w:pPr>
        <w:spacing w:after="0" w:line="240" w:lineRule="auto"/>
      </w:pPr>
      <w:r>
        <w:separator/>
      </w:r>
    </w:p>
  </w:footnote>
  <w:footnote w:type="continuationSeparator" w:id="0">
    <w:p w:rsidR="00672DA8" w:rsidRDefault="00672DA8" w:rsidP="00793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FBA" w:rsidRDefault="00793F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899" w:rsidRDefault="00672DA8">
    <w:pPr>
      <w:pStyle w:val="Nagwek"/>
      <w:rPr>
        <w:color w:val="000000"/>
        <w:lang w:eastAsia="pl-PL"/>
      </w:rPr>
    </w:pPr>
    <w:r>
      <w:rPr>
        <w:color w:val="000000"/>
        <w:lang w:eastAsia="pl-PL"/>
      </w:rPr>
      <w:fldChar w:fldCharType="begin"/>
    </w:r>
    <w:r>
      <w:rPr>
        <w:color w:val="000000"/>
        <w:lang w:eastAsia="pl-PL"/>
      </w:rPr>
      <w:instrText xml:space="preserve"> INCLUDEPICTURE  "cid:image005.jpg@01D6A92D.2112A1E0" \* MERGEFORMATINET </w:instrText>
    </w:r>
    <w:r>
      <w:rPr>
        <w:color w:val="000000"/>
        <w:lang w:eastAsia="pl-PL"/>
      </w:rPr>
      <w:fldChar w:fldCharType="separate"/>
    </w:r>
    <w:r>
      <w:rPr>
        <w:color w:val="000000"/>
        <w:lang w:eastAsia="pl-PL"/>
      </w:rPr>
      <w:fldChar w:fldCharType="begin"/>
    </w:r>
    <w:r>
      <w:rPr>
        <w:color w:val="000000"/>
        <w:lang w:eastAsia="pl-PL"/>
      </w:rPr>
      <w:instrText xml:space="preserve"> INCLUDEPICTURE  "cid:image005.jpg@01D6A92D.2112A1E0" \* MERGE</w:instrText>
    </w:r>
    <w:r>
      <w:rPr>
        <w:color w:val="000000"/>
        <w:lang w:eastAsia="pl-PL"/>
      </w:rPr>
      <w:instrText xml:space="preserve">FORMATINET </w:instrText>
    </w:r>
    <w:r>
      <w:rPr>
        <w:color w:val="000000"/>
        <w:lang w:eastAsia="pl-PL"/>
      </w:rPr>
      <w:fldChar w:fldCharType="separate"/>
    </w:r>
    <w:r>
      <w:rPr>
        <w:color w:val="000000"/>
        <w:lang w:eastAsia="pl-PL"/>
      </w:rPr>
      <w:fldChar w:fldCharType="begin"/>
    </w:r>
    <w:r>
      <w:rPr>
        <w:color w:val="000000"/>
        <w:lang w:eastAsia="pl-PL"/>
      </w:rPr>
      <w:instrText xml:space="preserve"> INCLUDEPICTURE  "cid:image005.jpg@01D6A92D.2112A1E0" \* MERGEFORMATINET </w:instrText>
    </w:r>
    <w:r>
      <w:rPr>
        <w:color w:val="000000"/>
        <w:lang w:eastAsia="pl-PL"/>
      </w:rPr>
      <w:fldChar w:fldCharType="separate"/>
    </w:r>
    <w:r>
      <w:rPr>
        <w:color w:val="000000"/>
        <w:lang w:eastAsia="pl-PL"/>
      </w:rPr>
      <w:fldChar w:fldCharType="begin"/>
    </w:r>
    <w:r>
      <w:rPr>
        <w:color w:val="000000"/>
        <w:lang w:eastAsia="pl-PL"/>
      </w:rPr>
      <w:instrText xml:space="preserve"> INCLUDEPICTURE  "cid:image005.jpg@01D6A92D.2112A1E0" \* MERGEFORMATINET </w:instrText>
    </w:r>
    <w:r>
      <w:rPr>
        <w:color w:val="000000"/>
        <w:lang w:eastAsia="pl-PL"/>
      </w:rPr>
      <w:fldChar w:fldCharType="separate"/>
    </w:r>
    <w:r>
      <w:rPr>
        <w:color w:val="000000"/>
        <w:lang w:eastAsia="pl-PL"/>
      </w:rPr>
      <w:fldChar w:fldCharType="begin"/>
    </w:r>
    <w:r>
      <w:rPr>
        <w:color w:val="000000"/>
        <w:lang w:eastAsia="pl-PL"/>
      </w:rPr>
      <w:instrText xml:space="preserve"> INCLUDEPICTURE  "cid:image005.jpg@01D6A92D.2112A1E0" \* MERGEFORMATINET </w:instrText>
    </w:r>
    <w:r>
      <w:rPr>
        <w:color w:val="000000"/>
        <w:lang w:eastAsia="pl-PL"/>
      </w:rPr>
      <w:fldChar w:fldCharType="separate"/>
    </w:r>
    <w:r>
      <w:rPr>
        <w:color w:val="000000"/>
        <w:lang w:eastAsia="pl-PL"/>
      </w:rPr>
      <w:fldChar w:fldCharType="begin"/>
    </w:r>
    <w:r>
      <w:rPr>
        <w:color w:val="000000"/>
        <w:lang w:eastAsia="pl-PL"/>
      </w:rPr>
      <w:instrText xml:space="preserve"> </w:instrText>
    </w:r>
    <w:r>
      <w:rPr>
        <w:color w:val="000000"/>
        <w:lang w:eastAsia="pl-PL"/>
      </w:rPr>
      <w:instrText>INCLUDEPICTURE  "cid:imag</w:instrText>
    </w:r>
    <w:r>
      <w:rPr>
        <w:color w:val="000000"/>
        <w:lang w:eastAsia="pl-PL"/>
      </w:rPr>
      <w:instrText>e005.jpg@01D6A92D.2112A1E0" \* MERGEFORMATINET</w:instrText>
    </w:r>
    <w:r>
      <w:rPr>
        <w:color w:val="000000"/>
        <w:lang w:eastAsia="pl-PL"/>
      </w:rPr>
      <w:instrText xml:space="preserve"> </w:instrText>
    </w:r>
    <w:r>
      <w:rPr>
        <w:color w:val="000000"/>
        <w:lang w:eastAsia="pl-PL"/>
      </w:rPr>
      <w:fldChar w:fldCharType="separate"/>
    </w:r>
    <w:r w:rsidR="00793FBA">
      <w:rPr>
        <w:color w:val="00000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Pole tekstowe zawiera logo Funduszy Europejskich z napisem po prawej stronie Pomoc Techniczna, flagę Polski z napiosem po prawej stronie Rzeczpospolita Polska, herb województwa świętokrzyskiego z napisem po prawej stronie województwo świętokrzyski, logo uni europejskiej z napisem po lewej stronie Unia Europejska Fundusz Spójności." style="width:453.3pt;height:44.45pt">
          <v:imagedata r:id="rId1" r:href="rId2"/>
        </v:shape>
      </w:pict>
    </w:r>
    <w:r>
      <w:rPr>
        <w:color w:val="000000"/>
        <w:lang w:eastAsia="pl-PL"/>
      </w:rPr>
      <w:fldChar w:fldCharType="end"/>
    </w:r>
    <w:r>
      <w:rPr>
        <w:color w:val="000000"/>
        <w:lang w:eastAsia="pl-PL"/>
      </w:rPr>
      <w:fldChar w:fldCharType="end"/>
    </w:r>
    <w:r>
      <w:rPr>
        <w:color w:val="000000"/>
        <w:lang w:eastAsia="pl-PL"/>
      </w:rPr>
      <w:fldChar w:fldCharType="end"/>
    </w:r>
    <w:r>
      <w:rPr>
        <w:color w:val="000000"/>
        <w:lang w:eastAsia="pl-PL"/>
      </w:rPr>
      <w:fldChar w:fldCharType="end"/>
    </w:r>
    <w:r>
      <w:rPr>
        <w:color w:val="000000"/>
        <w:lang w:eastAsia="pl-PL"/>
      </w:rPr>
      <w:fldChar w:fldCharType="end"/>
    </w:r>
    <w:r>
      <w:rPr>
        <w:color w:val="000000"/>
        <w:lang w:eastAsia="pl-PL"/>
      </w:rPr>
      <w:fldChar w:fldCharType="end"/>
    </w:r>
  </w:p>
  <w:p w:rsidR="00F21899" w:rsidRDefault="00672DA8">
    <w:pPr>
      <w:pStyle w:val="Nagwek"/>
      <w:rPr>
        <w:color w:val="000000"/>
        <w:lang w:eastAsia="pl-PL"/>
      </w:rPr>
    </w:pPr>
    <w:r>
      <w:rPr>
        <w:color w:val="000000"/>
        <w:lang w:eastAsia="pl-PL"/>
      </w:rPr>
      <w:fldChar w:fldCharType="begin"/>
    </w:r>
    <w:r>
      <w:rPr>
        <w:color w:val="000000"/>
        <w:lang w:eastAsia="pl-PL"/>
      </w:rPr>
      <w:instrText xml:space="preserve"> INCLUDEPICTURE  "cid:image006.png@01D6A92D.2112A1E0" \* MERGEFORMATINET </w:instrText>
    </w:r>
    <w:r>
      <w:rPr>
        <w:color w:val="000000"/>
        <w:lang w:eastAsia="pl-PL"/>
      </w:rPr>
      <w:fldChar w:fldCharType="separate"/>
    </w:r>
    <w:r>
      <w:rPr>
        <w:color w:val="000000"/>
        <w:lang w:eastAsia="pl-PL"/>
      </w:rPr>
      <w:fldChar w:fldCharType="begin"/>
    </w:r>
    <w:r>
      <w:rPr>
        <w:color w:val="000000"/>
        <w:lang w:eastAsia="pl-PL"/>
      </w:rPr>
      <w:instrText xml:space="preserve"> INCLUDEPICTURE  "cid:image006.png@01D6A92D.2112A1E0" \* MERGEFORMATINET </w:instrText>
    </w:r>
    <w:r>
      <w:rPr>
        <w:color w:val="000000"/>
        <w:lang w:eastAsia="pl-PL"/>
      </w:rPr>
      <w:fldChar w:fldCharType="separate"/>
    </w:r>
    <w:r>
      <w:rPr>
        <w:color w:val="000000"/>
        <w:lang w:eastAsia="pl-PL"/>
      </w:rPr>
      <w:fldChar w:fldCharType="begin"/>
    </w:r>
    <w:r>
      <w:rPr>
        <w:color w:val="000000"/>
        <w:lang w:eastAsia="pl-PL"/>
      </w:rPr>
      <w:instrText xml:space="preserve"> INCLUDEPICTURE  "cid:image006.png@01D6A92D</w:instrText>
    </w:r>
    <w:r>
      <w:rPr>
        <w:color w:val="000000"/>
        <w:lang w:eastAsia="pl-PL"/>
      </w:rPr>
      <w:instrText xml:space="preserve">.2112A1E0" \* MERGEFORMATINET </w:instrText>
    </w:r>
    <w:r>
      <w:rPr>
        <w:color w:val="000000"/>
        <w:lang w:eastAsia="pl-PL"/>
      </w:rPr>
      <w:fldChar w:fldCharType="separate"/>
    </w:r>
    <w:r>
      <w:rPr>
        <w:color w:val="000000"/>
        <w:lang w:eastAsia="pl-PL"/>
      </w:rPr>
      <w:fldChar w:fldCharType="begin"/>
    </w:r>
    <w:r>
      <w:rPr>
        <w:color w:val="000000"/>
        <w:lang w:eastAsia="pl-PL"/>
      </w:rPr>
      <w:instrText xml:space="preserve"> INCLUDEPICTURE  "cid:image006.png@01D6A92D.2112A1E0" \* MERGEFORMATINET </w:instrText>
    </w:r>
    <w:r>
      <w:rPr>
        <w:color w:val="000000"/>
        <w:lang w:eastAsia="pl-PL"/>
      </w:rPr>
      <w:fldChar w:fldCharType="separate"/>
    </w:r>
    <w:r>
      <w:rPr>
        <w:color w:val="000000"/>
        <w:lang w:eastAsia="pl-PL"/>
      </w:rPr>
      <w:fldChar w:fldCharType="begin"/>
    </w:r>
    <w:r>
      <w:rPr>
        <w:color w:val="000000"/>
        <w:lang w:eastAsia="pl-PL"/>
      </w:rPr>
      <w:instrText xml:space="preserve"> INCLUDEPICTURE  "cid:image006.png@01D6A92D.2112A1E0" \* MERGEFORMATINET </w:instrText>
    </w:r>
    <w:r>
      <w:rPr>
        <w:color w:val="000000"/>
        <w:lang w:eastAsia="pl-PL"/>
      </w:rPr>
      <w:fldChar w:fldCharType="separate"/>
    </w:r>
    <w:r>
      <w:rPr>
        <w:color w:val="000000"/>
        <w:lang w:eastAsia="pl-PL"/>
      </w:rPr>
      <w:fldChar w:fldCharType="begin"/>
    </w:r>
    <w:r>
      <w:rPr>
        <w:color w:val="000000"/>
        <w:lang w:eastAsia="pl-PL"/>
      </w:rPr>
      <w:instrText xml:space="preserve"> </w:instrText>
    </w:r>
    <w:r>
      <w:rPr>
        <w:color w:val="000000"/>
        <w:lang w:eastAsia="pl-PL"/>
      </w:rPr>
      <w:instrText>INCLUDEPICTURE  "cid:image006.png@01D6A92D.2112A1E0" \* MERGEFORMATINET</w:instrText>
    </w:r>
    <w:r>
      <w:rPr>
        <w:color w:val="000000"/>
        <w:lang w:eastAsia="pl-PL"/>
      </w:rPr>
      <w:instrText xml:space="preserve"> </w:instrText>
    </w:r>
    <w:r>
      <w:rPr>
        <w:color w:val="000000"/>
        <w:lang w:eastAsia="pl-PL"/>
      </w:rPr>
      <w:fldChar w:fldCharType="separate"/>
    </w:r>
    <w:r w:rsidR="00793FBA">
      <w:rPr>
        <w:color w:val="000000"/>
        <w:lang w:eastAsia="pl-PL"/>
      </w:rPr>
      <w:pict>
        <v:shape id="Obraz 2" o:spid="_x0000_i1026" type="#_x0000_t75" alt="Pole tekstowe zawiera napis: Projekt współfinansowany z Funduszu Spójności Unii Europejskiej w ramach Programu Pomoc Techniczna 2014-2020" style="width:453.9pt;height:22.55pt">
          <v:imagedata r:id="rId3" r:href="rId4"/>
        </v:shape>
      </w:pict>
    </w:r>
    <w:r>
      <w:rPr>
        <w:color w:val="000000"/>
        <w:lang w:eastAsia="pl-PL"/>
      </w:rPr>
      <w:fldChar w:fldCharType="end"/>
    </w:r>
    <w:r>
      <w:rPr>
        <w:color w:val="000000"/>
        <w:lang w:eastAsia="pl-PL"/>
      </w:rPr>
      <w:fldChar w:fldCharType="end"/>
    </w:r>
    <w:r>
      <w:rPr>
        <w:color w:val="000000"/>
        <w:lang w:eastAsia="pl-PL"/>
      </w:rPr>
      <w:fldChar w:fldCharType="end"/>
    </w:r>
    <w:r>
      <w:rPr>
        <w:color w:val="000000"/>
        <w:lang w:eastAsia="pl-PL"/>
      </w:rPr>
      <w:fldChar w:fldCharType="end"/>
    </w:r>
    <w:r>
      <w:rPr>
        <w:color w:val="000000"/>
        <w:lang w:eastAsia="pl-PL"/>
      </w:rPr>
      <w:fldChar w:fldCharType="end"/>
    </w:r>
    <w:r>
      <w:rPr>
        <w:color w:val="000000"/>
        <w:lang w:eastAsia="pl-PL"/>
      </w:rPr>
      <w:fldChar w:fldCharType="end"/>
    </w:r>
  </w:p>
  <w:p w:rsidR="00793FBA" w:rsidRDefault="00793FBA" w:rsidP="00793FBA">
    <w:pPr>
      <w:pStyle w:val="Nagwek"/>
      <w:jc w:val="right"/>
      <w:rPr>
        <w:color w:val="000000"/>
        <w:lang w:eastAsia="pl-PL"/>
      </w:rPr>
    </w:pPr>
    <w:r w:rsidRPr="000A1260">
      <w:rPr>
        <w:noProof/>
        <w:szCs w:val="20"/>
        <w:lang w:eastAsia="pl-PL"/>
      </w:rPr>
      <w:drawing>
        <wp:inline distT="0" distB="0" distL="0" distR="0" wp14:anchorId="20AE5BD2" wp14:editId="5C0547BA">
          <wp:extent cx="2170430" cy="540385"/>
          <wp:effectExtent l="0" t="0" r="1270" b="0"/>
          <wp:docPr id="3" name="Obraz 3" descr="Urząd Marszałkowski Województwa Świętokrzyskiego&#10;Departament Inwestycji i Rozwoju&#10;ulica Sienkiewicza 63, 25-002 Kielce&#10;telefon 41 365 81 00, 41 365 81 70&#10;fax 41 365 81 01&#10;e-mail sekretariat.I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rząd Marszałkowski Województwa Świętokrzyskiego&#10;Departament Inwestycji i Rozwoju&#10;ulica Sienkiewicza 63, 25-002 Kielce&#10;telefon 41 365 81 00, 41 365 81 70&#10;fax 41 365 81 01&#10;e-mail sekretariat.IR@sejmik.kielce.p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3FBA" w:rsidRDefault="00793F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FBA" w:rsidRDefault="00793F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6205"/>
    <w:multiLevelType w:val="hybridMultilevel"/>
    <w:tmpl w:val="338CC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23E16CA"/>
    <w:multiLevelType w:val="hybridMultilevel"/>
    <w:tmpl w:val="F4F2AAB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BF66BB7"/>
    <w:multiLevelType w:val="hybridMultilevel"/>
    <w:tmpl w:val="18746A9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643D3C"/>
    <w:multiLevelType w:val="hybridMultilevel"/>
    <w:tmpl w:val="CF30FB8C"/>
    <w:lvl w:ilvl="0" w:tplc="BB285D5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6432486"/>
    <w:multiLevelType w:val="hybridMultilevel"/>
    <w:tmpl w:val="C43CA56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C561A5C"/>
    <w:multiLevelType w:val="hybridMultilevel"/>
    <w:tmpl w:val="9F4C9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D41F6"/>
    <w:multiLevelType w:val="hybridMultilevel"/>
    <w:tmpl w:val="0B645EFE"/>
    <w:lvl w:ilvl="0" w:tplc="04150017">
      <w:start w:val="1"/>
      <w:numFmt w:val="lowerLetter"/>
      <w:lvlText w:val="%1)"/>
      <w:lvlJc w:val="left"/>
      <w:pPr>
        <w:ind w:left="108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260334"/>
    <w:multiLevelType w:val="hybridMultilevel"/>
    <w:tmpl w:val="7F660B80"/>
    <w:lvl w:ilvl="0" w:tplc="AADC5E6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50C96A1B"/>
    <w:multiLevelType w:val="hybridMultilevel"/>
    <w:tmpl w:val="D904126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E201DC2">
      <w:start w:val="1"/>
      <w:numFmt w:val="bullet"/>
      <w:lvlText w:val=""/>
      <w:lvlJc w:val="left"/>
      <w:pPr>
        <w:tabs>
          <w:tab w:val="num" w:pos="1504"/>
        </w:tabs>
        <w:ind w:left="1504" w:hanging="76"/>
      </w:pPr>
      <w:rPr>
        <w:rFonts w:ascii="Symbol" w:hAnsi="Symbol" w:cs="Symbol" w:hint="default"/>
      </w:rPr>
    </w:lvl>
    <w:lvl w:ilvl="2" w:tplc="0A4677C2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65106ECE"/>
    <w:multiLevelType w:val="hybridMultilevel"/>
    <w:tmpl w:val="324AB0C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AE76417"/>
    <w:multiLevelType w:val="hybridMultilevel"/>
    <w:tmpl w:val="1B783A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EAE0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2A20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9EBF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BCDC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00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F23B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2E08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C0D3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54B6B"/>
    <w:multiLevelType w:val="hybridMultilevel"/>
    <w:tmpl w:val="0616D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BA"/>
    <w:rsid w:val="00672DA8"/>
    <w:rsid w:val="00793FBA"/>
    <w:rsid w:val="00C2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E61D070-8B1F-45BE-A529-DCF07BBF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FBA"/>
    <w:pPr>
      <w:spacing w:after="200" w:line="276" w:lineRule="auto"/>
    </w:pPr>
    <w:rPr>
      <w:rFonts w:ascii="Calibri" w:eastAsiaTheme="minorEastAsia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ekst punktowanie,Numerowanie,List Paragraph,maz_wyliczenie,opis dzialania,K-P_odwolanie,A_wyliczenie,Akapit z listą5CxSpLast,Akapit z listą5,Akapit z listą 1,Kolorowa lista — akcent 11,Akapit z listą BS,BulletC"/>
    <w:basedOn w:val="Normalny"/>
    <w:link w:val="AkapitzlistZnak"/>
    <w:uiPriority w:val="34"/>
    <w:qFormat/>
    <w:rsid w:val="00793FBA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793FBA"/>
    <w:pPr>
      <w:spacing w:after="0" w:line="360" w:lineRule="auto"/>
      <w:jc w:val="both"/>
    </w:pPr>
    <w:rPr>
      <w:rFonts w:cstheme="minorBidi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93FBA"/>
    <w:rPr>
      <w:rFonts w:ascii="Calibri" w:eastAsiaTheme="minorEastAsia" w:hAnsi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3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FBA"/>
    <w:rPr>
      <w:rFonts w:ascii="Calibri" w:eastAsiaTheme="minorEastAsia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93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FBA"/>
    <w:rPr>
      <w:rFonts w:ascii="Calibri" w:eastAsiaTheme="minorEastAsia" w:hAnsi="Calibri" w:cs="Calibri"/>
    </w:rPr>
  </w:style>
  <w:style w:type="character" w:customStyle="1" w:styleId="AkapitzlistZnak">
    <w:name w:val="Akapit z listą Znak"/>
    <w:aliases w:val="Tekst punktowanie Znak,Numerowanie Znak,List Paragraph Znak,maz_wyliczenie Znak,opis dzialania Znak,K-P_odwolanie Znak,A_wyliczenie Znak,Akapit z listą5CxSpLast Znak,Akapit z listą5 Znak,Akapit z listą 1 Znak,Akapit z listą BS Znak"/>
    <w:link w:val="Akapitzlist"/>
    <w:uiPriority w:val="34"/>
    <w:locked/>
    <w:rsid w:val="00793FBA"/>
    <w:rPr>
      <w:rFonts w:ascii="Calibri" w:eastAsiaTheme="minorEastAsia" w:hAnsi="Calibri" w:cs="Calibri"/>
    </w:rPr>
  </w:style>
  <w:style w:type="character" w:styleId="Hipercze">
    <w:name w:val="Hyperlink"/>
    <w:basedOn w:val="Domylnaczcionkaakapitu"/>
    <w:uiPriority w:val="99"/>
    <w:unhideWhenUsed/>
    <w:rsid w:val="00793F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ewitalizacj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6A92D.2112A1E0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image" Target="cid:image006.png@01D6A92D.2112A1E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3292</Words>
  <Characters>19754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Ochwanowski, Piotr</dc:creator>
  <cp:keywords/>
  <dc:description/>
  <cp:lastModifiedBy>Ochwanowski, Piotr</cp:lastModifiedBy>
  <cp:revision>1</cp:revision>
  <cp:lastPrinted>2020-12-10T09:25:00Z</cp:lastPrinted>
  <dcterms:created xsi:type="dcterms:W3CDTF">2020-12-10T09:19:00Z</dcterms:created>
  <dcterms:modified xsi:type="dcterms:W3CDTF">2020-12-10T09:27:00Z</dcterms:modified>
</cp:coreProperties>
</file>