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DFA2" w14:textId="2B85624B" w:rsidR="00CE3655" w:rsidRPr="00EE226A" w:rsidRDefault="00CE3655" w:rsidP="00CE3655">
      <w:pPr>
        <w:pStyle w:val="KADATA"/>
        <w:rPr>
          <w:lang w:eastAsia="pl-PL"/>
        </w:rPr>
      </w:pPr>
      <w:r w:rsidRPr="00EE226A">
        <w:rPr>
          <w:lang w:eastAsia="pl-PL"/>
        </w:rPr>
        <w:t xml:space="preserve">Kielce, dnia </w:t>
      </w:r>
      <w:r w:rsidR="008D320A">
        <w:rPr>
          <w:lang w:eastAsia="pl-PL"/>
        </w:rPr>
        <w:t>20</w:t>
      </w:r>
      <w:r w:rsidRPr="00EE226A">
        <w:rPr>
          <w:lang w:eastAsia="pl-PL"/>
        </w:rPr>
        <w:t>.05.2020 r.</w:t>
      </w:r>
    </w:p>
    <w:p w14:paraId="5BE832AD" w14:textId="77777777" w:rsidR="00CE3655" w:rsidRDefault="00EE226A" w:rsidP="00CE3655">
      <w:pPr>
        <w:pStyle w:val="KAnrsprawy"/>
        <w:rPr>
          <w:lang w:eastAsia="pl-PL"/>
        </w:rPr>
      </w:pPr>
      <w:r w:rsidRPr="00EE226A">
        <w:rPr>
          <w:lang w:eastAsia="pl-PL"/>
        </w:rPr>
        <w:t>KA-I.1711.3.2020</w:t>
      </w:r>
    </w:p>
    <w:p w14:paraId="75ECF52E" w14:textId="77777777" w:rsidR="00EE226A" w:rsidRPr="00EE226A" w:rsidRDefault="00EE226A" w:rsidP="00B9476B">
      <w:pPr>
        <w:pStyle w:val="KAAdresat"/>
        <w:rPr>
          <w:lang w:eastAsia="pl-PL"/>
        </w:rPr>
      </w:pPr>
      <w:r w:rsidRPr="00EE226A">
        <w:rPr>
          <w:lang w:eastAsia="pl-PL"/>
        </w:rPr>
        <w:t>Pani</w:t>
      </w:r>
    </w:p>
    <w:p w14:paraId="1E86D9DA" w14:textId="77777777" w:rsidR="00EE226A" w:rsidRPr="00EE226A" w:rsidRDefault="00EE226A" w:rsidP="00B9476B">
      <w:pPr>
        <w:pStyle w:val="KAAdresat"/>
        <w:rPr>
          <w:lang w:eastAsia="pl-PL"/>
        </w:rPr>
      </w:pPr>
      <w:r w:rsidRPr="00EE226A">
        <w:rPr>
          <w:lang w:eastAsia="pl-PL"/>
        </w:rPr>
        <w:t>Urszula Salwa</w:t>
      </w:r>
    </w:p>
    <w:p w14:paraId="366048A7" w14:textId="77777777" w:rsidR="00EE226A" w:rsidRPr="00EE226A" w:rsidRDefault="00EE226A" w:rsidP="00B9476B">
      <w:pPr>
        <w:pStyle w:val="KAAdresat"/>
        <w:rPr>
          <w:lang w:eastAsia="pl-PL"/>
        </w:rPr>
      </w:pPr>
      <w:r w:rsidRPr="00EE226A">
        <w:rPr>
          <w:lang w:eastAsia="pl-PL"/>
        </w:rPr>
        <w:t xml:space="preserve">Dyrektor </w:t>
      </w:r>
    </w:p>
    <w:p w14:paraId="26CFFAF2" w14:textId="77777777" w:rsidR="00EE226A" w:rsidRPr="00EE226A" w:rsidRDefault="00EE226A" w:rsidP="00B9476B">
      <w:pPr>
        <w:pStyle w:val="KAAdresat"/>
        <w:rPr>
          <w:lang w:eastAsia="pl-PL"/>
        </w:rPr>
      </w:pPr>
      <w:r w:rsidRPr="00EE226A">
        <w:rPr>
          <w:lang w:eastAsia="pl-PL"/>
        </w:rPr>
        <w:t xml:space="preserve">Pedagogicznej Biblioteki Wojewódzkiej </w:t>
      </w:r>
    </w:p>
    <w:p w14:paraId="13DAEC4F" w14:textId="77777777" w:rsidR="00EE226A" w:rsidRPr="00EE226A" w:rsidRDefault="00EE226A" w:rsidP="00B9476B">
      <w:pPr>
        <w:pStyle w:val="KAAdresat"/>
        <w:rPr>
          <w:lang w:eastAsia="pl-PL"/>
        </w:rPr>
      </w:pPr>
      <w:r w:rsidRPr="00EE226A">
        <w:rPr>
          <w:lang w:eastAsia="pl-PL"/>
        </w:rPr>
        <w:t>w Kielcach</w:t>
      </w:r>
    </w:p>
    <w:p w14:paraId="50A856BC" w14:textId="77777777" w:rsidR="00EE226A" w:rsidRPr="00EE226A" w:rsidRDefault="00EE226A" w:rsidP="00EE22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44170" w14:textId="77777777" w:rsidR="00EE226A" w:rsidRPr="00EE226A" w:rsidRDefault="00EE226A" w:rsidP="00B9476B">
      <w:pPr>
        <w:pStyle w:val="KATytu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Wystąpienie pokontrolne</w:t>
      </w:r>
    </w:p>
    <w:p w14:paraId="551F490B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C41FF4B" w14:textId="77777777" w:rsidR="00EE226A" w:rsidRPr="00EE226A" w:rsidRDefault="00EE226A" w:rsidP="00B9476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Na podstawie art. 41 ust. 2 pkt 6 ustawy z dnia 5 czerwca 1998 roku </w:t>
      </w:r>
      <w:r w:rsidRPr="00EE226A">
        <w:rPr>
          <w:lang w:eastAsia="pl-PL"/>
        </w:rPr>
        <w:br/>
        <w:t>o samorządzie województwa (</w:t>
      </w:r>
      <w:r w:rsidRPr="00EE226A">
        <w:rPr>
          <w:rFonts w:eastAsia="Times New Roman"/>
          <w:lang w:eastAsia="pl-PL"/>
        </w:rPr>
        <w:t>Dz. U. z 2019 r. poz. 512 ze zm.)</w:t>
      </w:r>
      <w:r w:rsidRPr="00EE226A">
        <w:rPr>
          <w:lang w:eastAsia="pl-PL"/>
        </w:rPr>
        <w:t xml:space="preserve"> oraz Uchwały Nr 1719/2020 Zarządu Województwa Świętokrzyskiego z dnia 26 lutego 2020 roku w sprawie ustalenia Regulaminu Kontroli wykonywanej przez Urząd Marszałkowski Województwa Świętokrzyskiego w Kielcach, Departament Kontroli i Audytu UMWŚ w Kielcach przeprowadził kontrolę kompleksową w Pedagogicznej Bibliotece Wojewódzkiej w Kielcach. </w:t>
      </w:r>
    </w:p>
    <w:p w14:paraId="7AEBA0FB" w14:textId="77777777" w:rsidR="00EE226A" w:rsidRPr="00EE226A" w:rsidRDefault="00EE226A" w:rsidP="00B9476B">
      <w:pPr>
        <w:pStyle w:val="KANormalny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Przedmiotem kontroli była działalność jednostki za okres od 1 stycznia do 31 grudnia 2019 r.</w:t>
      </w:r>
    </w:p>
    <w:p w14:paraId="3C8BBAFD" w14:textId="77777777" w:rsidR="00EE226A" w:rsidRPr="00EE226A" w:rsidRDefault="00EE226A" w:rsidP="00B9476B">
      <w:pPr>
        <w:pStyle w:val="KANormalny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 xml:space="preserve">W związku z kontrolą, której wyniki zostały przedstawione w protokole kontroli podpisanym w dniu 22 kwietnia 2020 roku, Urząd Marszałkowski Województwa Świętokrzyskiego przekazuje Pani Dyrektor Pedagogicznej Biblioteki Wojewódzkiej </w:t>
      </w:r>
      <w:r w:rsidRPr="00EE226A">
        <w:rPr>
          <w:rFonts w:eastAsia="Times New Roman"/>
          <w:lang w:eastAsia="pl-PL"/>
        </w:rPr>
        <w:br/>
        <w:t>w Kielcach niniejsze wystąpienie pokontrolne.</w:t>
      </w:r>
      <w:r w:rsidRPr="00EE226A">
        <w:rPr>
          <w:rFonts w:eastAsia="Times New Roman"/>
          <w:lang w:eastAsia="pl-PL"/>
        </w:rPr>
        <w:tab/>
      </w:r>
    </w:p>
    <w:p w14:paraId="579154D9" w14:textId="77777777" w:rsidR="00EE226A" w:rsidRPr="00EE226A" w:rsidRDefault="00EE226A" w:rsidP="00B9476B">
      <w:pPr>
        <w:pStyle w:val="KANormalny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Na podstawie ustaleń zawartych w protokole kontroli, o którym mowa wyżej, stwierdzono uchybienia i nieprawidłowości, do których należy zaliczyć:</w:t>
      </w:r>
    </w:p>
    <w:p w14:paraId="7D70F9F8" w14:textId="77777777" w:rsidR="003A0B84" w:rsidRDefault="003A0B84">
      <w:pPr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br w:type="page"/>
      </w:r>
    </w:p>
    <w:p w14:paraId="7232A9EF" w14:textId="77777777" w:rsidR="00EE226A" w:rsidRPr="007E31B1" w:rsidRDefault="00EE226A" w:rsidP="00542F4B">
      <w:pPr>
        <w:pStyle w:val="KANumeARAB"/>
        <w:ind w:left="357" w:hanging="357"/>
        <w:rPr>
          <w:b/>
          <w:lang w:eastAsia="pl-PL"/>
        </w:rPr>
      </w:pPr>
      <w:r w:rsidRPr="007E31B1">
        <w:rPr>
          <w:b/>
          <w:lang w:eastAsia="pl-PL"/>
        </w:rPr>
        <w:lastRenderedPageBreak/>
        <w:t xml:space="preserve">W zakresie prawidłowości sporządzania regulacji wewnętrznych (zgodności </w:t>
      </w:r>
      <w:r w:rsidRPr="007E31B1">
        <w:rPr>
          <w:b/>
          <w:lang w:eastAsia="pl-PL"/>
        </w:rPr>
        <w:br/>
        <w:t>z przepisami ustawowymi, dostosowania do struktury jednostki, aktualności obowiązujących uregulowań):</w:t>
      </w:r>
    </w:p>
    <w:p w14:paraId="1CAE25FF" w14:textId="77777777" w:rsidR="00EE226A" w:rsidRPr="00EE226A" w:rsidRDefault="00EE226A" w:rsidP="00542F4B">
      <w:pPr>
        <w:pStyle w:val="KANumeARAB"/>
        <w:numPr>
          <w:ilvl w:val="1"/>
          <w:numId w:val="12"/>
        </w:numPr>
        <w:jc w:val="both"/>
        <w:rPr>
          <w:lang w:eastAsia="pl-PL"/>
        </w:rPr>
      </w:pPr>
      <w:r w:rsidRPr="00EE226A">
        <w:rPr>
          <w:lang w:eastAsia="pl-PL"/>
        </w:rPr>
        <w:t>.Przedstawione uregulowania wewnętrze funkcjonujące w Bibliotece posiadają szereg zmian wprowadzanych zarządzeniami i aneksami do dokumentów wyjściowych. W związku z tym dochodzi do błędnie sporządzanych dokumentów i braku precyzyjnych zapisów. Aneksy wprowadzające zmiany nie posiadają numeracji, są formułowane nieprawidłowo</w:t>
      </w:r>
      <w:r w:rsidR="00B9476B">
        <w:rPr>
          <w:lang w:eastAsia="pl-PL"/>
        </w:rPr>
        <w:t>.</w:t>
      </w:r>
      <w:r w:rsidR="00B9476B" w:rsidRPr="00B9476B">
        <w:rPr>
          <w:lang w:eastAsia="pl-PL"/>
        </w:rPr>
        <w:t xml:space="preserve"> </w:t>
      </w:r>
      <w:r w:rsidR="00B9476B" w:rsidRPr="00EE226A">
        <w:rPr>
          <w:lang w:eastAsia="pl-PL"/>
        </w:rPr>
        <w:t xml:space="preserve">W przedłożonych do kontroli dokumentach stwierdzono, iż uregulowania wewnętrzne nie są sporządzane </w:t>
      </w:r>
      <w:r w:rsidR="00542F4B">
        <w:rPr>
          <w:lang w:eastAsia="pl-PL"/>
        </w:rPr>
        <w:br/>
      </w:r>
      <w:r w:rsidR="00B9476B" w:rsidRPr="00EE226A">
        <w:rPr>
          <w:lang w:eastAsia="pl-PL"/>
        </w:rPr>
        <w:t>z należytą starannością</w:t>
      </w:r>
      <w:r w:rsidRPr="00EE226A">
        <w:rPr>
          <w:lang w:eastAsia="pl-PL"/>
        </w:rPr>
        <w:t xml:space="preserve">. </w:t>
      </w:r>
    </w:p>
    <w:p w14:paraId="5FF457F7" w14:textId="77777777" w:rsidR="00EE226A" w:rsidRPr="00EE226A" w:rsidRDefault="00EE226A" w:rsidP="00542F4B">
      <w:pPr>
        <w:pStyle w:val="KANumeARAB"/>
        <w:numPr>
          <w:ilvl w:val="1"/>
          <w:numId w:val="12"/>
        </w:numPr>
        <w:jc w:val="both"/>
        <w:rPr>
          <w:lang w:eastAsia="pl-PL"/>
        </w:rPr>
      </w:pPr>
      <w:r w:rsidRPr="00EE226A">
        <w:rPr>
          <w:lang w:eastAsia="pl-PL"/>
        </w:rPr>
        <w:t>W uregulowaniach wewnętrznych często pojawia się skrót „PBW”, który nie został wprowadzony do Statutu i posługiwanie się nim nie jest uprawnione.</w:t>
      </w:r>
    </w:p>
    <w:p w14:paraId="3BDF7EA4" w14:textId="77777777" w:rsidR="00EE226A" w:rsidRPr="00EE226A" w:rsidRDefault="00EE226A" w:rsidP="00EE226A">
      <w:pPr>
        <w:spacing w:after="0" w:line="360" w:lineRule="auto"/>
        <w:ind w:left="8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A203D" w14:textId="77777777" w:rsidR="00EE226A" w:rsidRPr="00EE226A" w:rsidRDefault="00EE226A" w:rsidP="00B9476B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1</w:t>
      </w:r>
      <w:r w:rsidRPr="00EE226A">
        <w:rPr>
          <w:rFonts w:eastAsia="Times New Roman"/>
          <w:lang w:eastAsia="pl-PL"/>
        </w:rPr>
        <w:tab/>
      </w:r>
    </w:p>
    <w:p w14:paraId="078382A7" w14:textId="77777777" w:rsidR="00EE226A" w:rsidRPr="00EE226A" w:rsidRDefault="00EE226A" w:rsidP="00542F4B">
      <w:pPr>
        <w:pStyle w:val="KANumeARAB"/>
        <w:numPr>
          <w:ilvl w:val="1"/>
          <w:numId w:val="13"/>
        </w:numPr>
        <w:jc w:val="both"/>
        <w:rPr>
          <w:lang w:eastAsia="pl-PL"/>
        </w:rPr>
      </w:pPr>
      <w:r w:rsidRPr="00EE226A">
        <w:rPr>
          <w:lang w:eastAsia="pl-PL"/>
        </w:rPr>
        <w:t xml:space="preserve"> Zaleca się, aby zaktualizować i wprowadzić jednolite teksty uregulowań wewnętrznych obowiązujących w Bibliotece.</w:t>
      </w:r>
    </w:p>
    <w:p w14:paraId="5B3806E0" w14:textId="77777777" w:rsidR="00EE226A" w:rsidRPr="00EE226A" w:rsidRDefault="00EE226A" w:rsidP="00542F4B">
      <w:pPr>
        <w:pStyle w:val="KANumeARAB"/>
        <w:numPr>
          <w:ilvl w:val="1"/>
          <w:numId w:val="13"/>
        </w:numPr>
        <w:jc w:val="both"/>
        <w:rPr>
          <w:lang w:eastAsia="pl-PL"/>
        </w:rPr>
      </w:pPr>
      <w:r w:rsidRPr="00EE226A">
        <w:rPr>
          <w:lang w:eastAsia="pl-PL"/>
        </w:rPr>
        <w:t xml:space="preserve"> Biblioteka, aby posługiwać się skrótem „PBW” powinna wprowadzić stosowny zapis do Statutu Biblioteki.</w:t>
      </w:r>
    </w:p>
    <w:p w14:paraId="0F6CA0C9" w14:textId="77777777" w:rsidR="00EE226A" w:rsidRPr="00EE226A" w:rsidRDefault="00EE226A" w:rsidP="00EE226A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60F797" w14:textId="77777777" w:rsidR="00EE226A" w:rsidRPr="007E31B1" w:rsidRDefault="00EE226A" w:rsidP="00542F4B">
      <w:pPr>
        <w:pStyle w:val="KANumeARAB"/>
        <w:ind w:left="357" w:hanging="357"/>
        <w:rPr>
          <w:b/>
          <w:lang w:eastAsia="pl-PL"/>
        </w:rPr>
      </w:pPr>
      <w:r w:rsidRPr="007E31B1">
        <w:rPr>
          <w:b/>
          <w:lang w:eastAsia="pl-PL"/>
        </w:rPr>
        <w:t xml:space="preserve"> W zakresie prowadzenia spraw zgodnie z przepisami kancelaryjnymi:</w:t>
      </w:r>
    </w:p>
    <w:p w14:paraId="04073B05" w14:textId="77777777" w:rsidR="00EE226A" w:rsidRPr="00EE226A" w:rsidRDefault="00EE226A" w:rsidP="007E31B1">
      <w:pPr>
        <w:pStyle w:val="KANormalny"/>
        <w:rPr>
          <w:b/>
          <w:lang w:eastAsia="pl-PL"/>
        </w:rPr>
      </w:pPr>
      <w:r w:rsidRPr="00EE226A">
        <w:rPr>
          <w:lang w:eastAsia="pl-PL"/>
        </w:rPr>
        <w:t xml:space="preserve">W zakresie prowadzenia spraw zgodnie z przepisami kancelaryjnymi obowiązującymi </w:t>
      </w:r>
      <w:r w:rsidRPr="00EE226A">
        <w:rPr>
          <w:lang w:eastAsia="pl-PL"/>
        </w:rPr>
        <w:br/>
        <w:t>w kontrolowanej jednostce, w objętych próbą kontrolną dokumentach stwierdzono przypadki, że:</w:t>
      </w:r>
    </w:p>
    <w:p w14:paraId="246FD628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korespondencja przychodząca i wychodząca nie była rejestrowana w dziennikach korespondencji,</w:t>
      </w:r>
    </w:p>
    <w:p w14:paraId="71777DDE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pismach przychodzących brak pieczęci wpływu oraz dekretacji dyrektora Jednostki,</w:t>
      </w:r>
    </w:p>
    <w:p w14:paraId="1024967A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pismach wychodzących brak adnotacji o dacie i sposobie wysyłki,</w:t>
      </w:r>
    </w:p>
    <w:p w14:paraId="66AD7E4A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aktach spraw brak odpowiedzi na pisma,</w:t>
      </w:r>
    </w:p>
    <w:p w14:paraId="28D2D106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pisma kierowane do różnych instytucji opatrzone datami z dwóch różnych miesięcy oraz dotyczące różnych spraw zawierają ten sam znak pisma,</w:t>
      </w:r>
    </w:p>
    <w:p w14:paraId="3AA99B7C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dzienniku korespondencji pod jednym numerem sprawy zostały zarejestrowane dwa pisma dotyczące różnych spraw i z różnymi znakami spraw oraz daty przyjęć pism na kancelarii są nieprawidłowo nadane, </w:t>
      </w:r>
    </w:p>
    <w:p w14:paraId="17BEC8C1" w14:textId="77777777" w:rsidR="00EE226A" w:rsidRPr="00EE226A" w:rsidRDefault="00EE226A" w:rsidP="00EE226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22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dziennikach korespondencji często napotyka się brak tytułu opisu, czyli zwięzłego odniesienia się do treści odebranej lub wysłanej korespondencji.</w:t>
      </w:r>
    </w:p>
    <w:p w14:paraId="0D284C63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38630057"/>
    </w:p>
    <w:p w14:paraId="5E073540" w14:textId="77777777" w:rsidR="007E31B1" w:rsidRDefault="00EE226A" w:rsidP="007E31B1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2</w:t>
      </w:r>
      <w:r w:rsidRPr="00EE226A">
        <w:rPr>
          <w:rFonts w:eastAsia="Times New Roman"/>
          <w:lang w:eastAsia="pl-PL"/>
        </w:rPr>
        <w:tab/>
      </w:r>
      <w:bookmarkEnd w:id="0"/>
    </w:p>
    <w:p w14:paraId="5592B66F" w14:textId="77777777" w:rsidR="00EE226A" w:rsidRDefault="00EE226A" w:rsidP="007E31B1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Przestrzegać i stosować się do zapisów </w:t>
      </w:r>
      <w:r w:rsidRPr="00EE226A">
        <w:rPr>
          <w:i/>
          <w:iCs/>
          <w:lang w:eastAsia="pl-PL"/>
        </w:rPr>
        <w:t>Instrukcji kancelaryjnej</w:t>
      </w:r>
      <w:r w:rsidRPr="00EE226A">
        <w:rPr>
          <w:lang w:eastAsia="pl-PL"/>
        </w:rPr>
        <w:t xml:space="preserve"> obowiązującej </w:t>
      </w:r>
      <w:r w:rsidRPr="00EE226A">
        <w:rPr>
          <w:lang w:eastAsia="pl-PL"/>
        </w:rPr>
        <w:br/>
        <w:t>w Pedagogicznej Bibliotece Wojewódzkiej w Kielcach.</w:t>
      </w:r>
    </w:p>
    <w:p w14:paraId="786DA686" w14:textId="77777777" w:rsidR="007E31B1" w:rsidRPr="00EE226A" w:rsidRDefault="007E31B1" w:rsidP="007E31B1">
      <w:pPr>
        <w:pStyle w:val="KANormalny"/>
        <w:rPr>
          <w:lang w:eastAsia="pl-PL"/>
        </w:rPr>
      </w:pPr>
    </w:p>
    <w:p w14:paraId="219A5998" w14:textId="77777777" w:rsidR="00EE226A" w:rsidRPr="00EE226A" w:rsidRDefault="00EE226A" w:rsidP="00542F4B">
      <w:pPr>
        <w:pStyle w:val="KANumeARAB"/>
        <w:spacing w:after="0"/>
        <w:ind w:left="357" w:hanging="357"/>
        <w:jc w:val="both"/>
        <w:rPr>
          <w:rFonts w:eastAsia="Times New Roman" w:cs="Times New Roman"/>
          <w:b/>
          <w:szCs w:val="24"/>
          <w:lang w:eastAsia="pl-PL"/>
        </w:rPr>
      </w:pPr>
      <w:r w:rsidRPr="007E31B1">
        <w:rPr>
          <w:b/>
          <w:lang w:eastAsia="pl-PL"/>
        </w:rPr>
        <w:t xml:space="preserve">W zakresie prawidłowości zatrudniania i wynagradzania pracowników </w:t>
      </w:r>
      <w:r w:rsidR="00542F4B">
        <w:rPr>
          <w:b/>
          <w:lang w:eastAsia="pl-PL"/>
        </w:rPr>
        <w:br/>
      </w:r>
      <w:r w:rsidRPr="007E31B1">
        <w:rPr>
          <w:b/>
          <w:lang w:eastAsia="pl-PL"/>
        </w:rPr>
        <w:t xml:space="preserve">w zgodności </w:t>
      </w:r>
      <w:r w:rsidR="007E31B1">
        <w:rPr>
          <w:b/>
          <w:lang w:eastAsia="pl-PL"/>
        </w:rPr>
        <w:t xml:space="preserve"> </w:t>
      </w:r>
      <w:r w:rsidRPr="00EE226A">
        <w:rPr>
          <w:rFonts w:eastAsia="Times New Roman" w:cs="Times New Roman"/>
          <w:b/>
          <w:szCs w:val="24"/>
          <w:lang w:eastAsia="pl-PL"/>
        </w:rPr>
        <w:t>z przepisami ustawowymi i regulacjami wewnętrznymi:</w:t>
      </w:r>
    </w:p>
    <w:p w14:paraId="396BD9E3" w14:textId="77777777" w:rsidR="00EE226A" w:rsidRPr="00EE226A" w:rsidRDefault="00EE226A" w:rsidP="00542F4B">
      <w:pPr>
        <w:pStyle w:val="KANumeARAB"/>
        <w:numPr>
          <w:ilvl w:val="1"/>
          <w:numId w:val="14"/>
        </w:numPr>
        <w:ind w:left="714" w:hanging="357"/>
        <w:jc w:val="both"/>
        <w:rPr>
          <w:lang w:eastAsia="pl-PL"/>
        </w:rPr>
      </w:pPr>
      <w:r w:rsidRPr="00EE226A">
        <w:rPr>
          <w:lang w:eastAsia="pl-PL"/>
        </w:rPr>
        <w:t xml:space="preserve">W zakresie prawidłowości zatrudniania i wynagrodzenia pracowników </w:t>
      </w:r>
      <w:r w:rsidR="00542F4B">
        <w:rPr>
          <w:lang w:eastAsia="pl-PL"/>
        </w:rPr>
        <w:br/>
      </w:r>
      <w:r w:rsidRPr="00EE226A">
        <w:rPr>
          <w:lang w:eastAsia="pl-PL"/>
        </w:rPr>
        <w:t xml:space="preserve">w zgodności z przepisami ustawowymi i regulacjami wewnętrznymi kontrola wykazała, że według § 3 </w:t>
      </w:r>
      <w:r w:rsidRPr="00EE226A">
        <w:rPr>
          <w:i/>
          <w:lang w:eastAsia="pl-PL"/>
        </w:rPr>
        <w:t xml:space="preserve">Regulaminu premiowania pracowników administracji </w:t>
      </w:r>
      <w:r w:rsidR="00542F4B">
        <w:rPr>
          <w:i/>
          <w:lang w:eastAsia="pl-PL"/>
        </w:rPr>
        <w:br/>
      </w:r>
      <w:r w:rsidRPr="00EE226A">
        <w:rPr>
          <w:i/>
          <w:lang w:eastAsia="pl-PL"/>
        </w:rPr>
        <w:t>i obsługi</w:t>
      </w:r>
      <w:r w:rsidRPr="00EE226A">
        <w:rPr>
          <w:lang w:eastAsia="pl-PL"/>
        </w:rPr>
        <w:t xml:space="preserve"> Pedagogicznej Biblioteki Wojewódzkiej w Kielcach, indywidualna premia miesięczna każdego pracownika wynosi 6% jego wynagrodzenia zasadniczego za czas efektywnie przepracowany oraz za czas, w którym pracownik nie pracował z przyczyn leżących po stronie pracodawcy. Natomiast w § 7 tegoż regulaminu jest zapis, iż dyrektor Biblioteki może doraźnie zwiększyć premię do wysokości 25% wynagrodzenia zasadniczego za dany miesiąc lub kilka miesięcy. Zwiększenie premii może nastąpić łącznie po spełnieniu następujących warunków: pracownik szczególnie wykazał się pozytywnie w realizowaniu swoich zadań albo wykonana praca znacznie przekroczyła zakres jego obowiązków i będą zapewnione rezerwy w funduszu premiowym. Na podstawie dokumentów przedłożonych do kontroli, w tym list przyznanych premii za IV kwartał 2019 roku stwierdzono, iż przyznane premie przewyższają indywidualną premię miesięczną dla każdego pracownika, która według przedłożonego regulaminu wynosi 6%, a na listach premiowania brak jest informacji wynikających z zapisów ww. § 7 regulaminu. Ponadto na listach przekazanych do księgowości o wypłatę premii dla pracowników administracji i obsługi za miesiąc październik, listopad i grudzień 2019 roku, powołano się na regulamin premiowania </w:t>
      </w:r>
      <w:r w:rsidRPr="00EE226A">
        <w:rPr>
          <w:lang w:eastAsia="pl-PL"/>
        </w:rPr>
        <w:lastRenderedPageBreak/>
        <w:t xml:space="preserve">będący załącznikiem nr 7 do regulaminu wynagradzania. Kontrolujący po analizie dokumentów jednoznacznie stwierdza, iż taki załącznik nie funkcjonuje. </w:t>
      </w:r>
    </w:p>
    <w:p w14:paraId="79929FBF" w14:textId="77777777" w:rsidR="00EE226A" w:rsidRPr="00EE226A" w:rsidRDefault="00EE226A" w:rsidP="00542F4B">
      <w:pPr>
        <w:pStyle w:val="KANumeARAB"/>
        <w:numPr>
          <w:ilvl w:val="1"/>
          <w:numId w:val="7"/>
        </w:numPr>
        <w:jc w:val="both"/>
        <w:rPr>
          <w:lang w:eastAsia="pl-PL"/>
        </w:rPr>
      </w:pPr>
      <w:r w:rsidRPr="00EE226A">
        <w:rPr>
          <w:lang w:eastAsia="pl-PL"/>
        </w:rPr>
        <w:t>Dyrektor jednostki przyznając nagrody z okazji Dnia Nauczyciela pracownikom niepedagogicznym w piśmie informującym pracowników o przyznaniu nagrody nie podał informacji, iż jest to nagroda z okazji Dnia Edukacji Narodowej.</w:t>
      </w:r>
    </w:p>
    <w:p w14:paraId="09074AC4" w14:textId="77777777" w:rsidR="00EE226A" w:rsidRPr="00EE226A" w:rsidRDefault="00EE226A" w:rsidP="00542F4B">
      <w:pPr>
        <w:pStyle w:val="KANumeARAB"/>
        <w:numPr>
          <w:ilvl w:val="1"/>
          <w:numId w:val="7"/>
        </w:numPr>
        <w:jc w:val="both"/>
        <w:rPr>
          <w:lang w:eastAsia="pl-PL"/>
        </w:rPr>
      </w:pPr>
      <w:r w:rsidRPr="00EE226A">
        <w:rPr>
          <w:lang w:eastAsia="pl-PL"/>
        </w:rPr>
        <w:t xml:space="preserve"> Kwota wynagrodzenia zasadniczego jednego z pracowników objętych kontrolą nie mieściła się w kategorii zaszeregowania pracowników wynikającego </w:t>
      </w:r>
      <w:r w:rsidR="003A0B84">
        <w:rPr>
          <w:lang w:eastAsia="pl-PL"/>
        </w:rPr>
        <w:br/>
      </w:r>
      <w:r w:rsidRPr="00EE226A">
        <w:rPr>
          <w:lang w:eastAsia="pl-PL"/>
        </w:rPr>
        <w:t xml:space="preserve">z </w:t>
      </w:r>
      <w:bookmarkStart w:id="1" w:name="_Hlk38622292"/>
      <w:r w:rsidRPr="00EE226A">
        <w:rPr>
          <w:i/>
          <w:iCs/>
          <w:lang w:eastAsia="pl-PL"/>
        </w:rPr>
        <w:t>Regulaminu wynagradzania pracowników administracji i obsługi.</w:t>
      </w:r>
      <w:bookmarkEnd w:id="1"/>
    </w:p>
    <w:p w14:paraId="77CBF5BA" w14:textId="77777777" w:rsidR="00EE226A" w:rsidRPr="00EE226A" w:rsidRDefault="00EE226A" w:rsidP="00542F4B">
      <w:pPr>
        <w:pStyle w:val="KANumeARAB"/>
        <w:numPr>
          <w:ilvl w:val="1"/>
          <w:numId w:val="7"/>
        </w:numPr>
        <w:jc w:val="both"/>
        <w:rPr>
          <w:lang w:eastAsia="pl-PL"/>
        </w:rPr>
      </w:pPr>
      <w:r w:rsidRPr="00EE226A">
        <w:rPr>
          <w:lang w:eastAsia="pl-PL"/>
        </w:rPr>
        <w:t>Aneks do umowy o pracę dla pracownika Biblioteki z dnia 27.11.2019 r. został sporządzony nieprawidłowo, ponieważ w podstawie aneksu powołano się na niewłaściwą umowę o pracę, tj. na umowę o pracę na czas określony z dnia 01.01.2018 r. zamiast na umowę o pracę na czas nieokreślony z dnia 31.12.2018 r. W sporządzeniu dokumentu zabrakło należytej staranności.</w:t>
      </w:r>
    </w:p>
    <w:p w14:paraId="669EC712" w14:textId="77777777" w:rsidR="00EE226A" w:rsidRPr="00EE226A" w:rsidRDefault="00EE226A" w:rsidP="00EE226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7E9F5" w14:textId="77777777" w:rsidR="00EE226A" w:rsidRPr="00EE226A" w:rsidRDefault="00EE226A" w:rsidP="007E31B1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3</w:t>
      </w:r>
      <w:r w:rsidRPr="00EE226A">
        <w:rPr>
          <w:rFonts w:eastAsia="Times New Roman"/>
          <w:lang w:eastAsia="pl-PL"/>
        </w:rPr>
        <w:tab/>
        <w:t xml:space="preserve"> </w:t>
      </w:r>
    </w:p>
    <w:p w14:paraId="05E755D7" w14:textId="77777777" w:rsidR="007E31B1" w:rsidRDefault="00EE226A" w:rsidP="00542F4B">
      <w:pPr>
        <w:pStyle w:val="KANumeARAB"/>
        <w:numPr>
          <w:ilvl w:val="1"/>
          <w:numId w:val="15"/>
        </w:numPr>
        <w:jc w:val="both"/>
        <w:rPr>
          <w:lang w:eastAsia="pl-PL"/>
        </w:rPr>
      </w:pPr>
      <w:r w:rsidRPr="00EE226A">
        <w:rPr>
          <w:lang w:eastAsia="pl-PL"/>
        </w:rPr>
        <w:t>Należy doprecyzować zapisy w Regulaminie wynagradzania pracowników administracji i obsługi.</w:t>
      </w:r>
    </w:p>
    <w:p w14:paraId="16D4DA12" w14:textId="77777777" w:rsidR="00404A4B" w:rsidRDefault="00EE226A" w:rsidP="00542F4B">
      <w:pPr>
        <w:pStyle w:val="KANumeARAB"/>
        <w:numPr>
          <w:ilvl w:val="1"/>
          <w:numId w:val="15"/>
        </w:numPr>
        <w:jc w:val="both"/>
        <w:rPr>
          <w:lang w:eastAsia="pl-PL"/>
        </w:rPr>
      </w:pPr>
      <w:r w:rsidRPr="00EE226A">
        <w:rPr>
          <w:lang w:eastAsia="pl-PL"/>
        </w:rPr>
        <w:t xml:space="preserve"> Należy informować pracowników, z jakiego tytułu zostały przyznane nagrody.</w:t>
      </w:r>
      <w:r w:rsidR="00404A4B" w:rsidRPr="00404A4B">
        <w:rPr>
          <w:lang w:eastAsia="pl-PL"/>
        </w:rPr>
        <w:t xml:space="preserve"> </w:t>
      </w:r>
    </w:p>
    <w:p w14:paraId="7EBEAA85" w14:textId="77777777" w:rsidR="00EE226A" w:rsidRPr="00EE226A" w:rsidRDefault="00404A4B" w:rsidP="00542F4B">
      <w:pPr>
        <w:pStyle w:val="KANumeARAB"/>
        <w:numPr>
          <w:ilvl w:val="1"/>
          <w:numId w:val="15"/>
        </w:numPr>
        <w:jc w:val="both"/>
        <w:rPr>
          <w:lang w:eastAsia="pl-PL"/>
        </w:rPr>
      </w:pPr>
      <w:r w:rsidRPr="00EE226A">
        <w:rPr>
          <w:lang w:eastAsia="pl-PL"/>
        </w:rPr>
        <w:t>Należy przestrzegać kwot wynagradzania pracowników wynikających z tabeli zaszeregowania.</w:t>
      </w:r>
    </w:p>
    <w:p w14:paraId="73A0A32E" w14:textId="77777777" w:rsidR="00EE226A" w:rsidRPr="00EE226A" w:rsidRDefault="00EE226A" w:rsidP="00404A4B">
      <w:pPr>
        <w:pStyle w:val="KANumeARAB"/>
        <w:numPr>
          <w:ilvl w:val="1"/>
          <w:numId w:val="15"/>
        </w:numPr>
        <w:rPr>
          <w:lang w:eastAsia="pl-PL"/>
        </w:rPr>
      </w:pPr>
      <w:r w:rsidRPr="00EE226A">
        <w:rPr>
          <w:lang w:eastAsia="pl-PL"/>
        </w:rPr>
        <w:t xml:space="preserve"> Należy dochować staranności przy sporządzaniu dokumentów kadrowych.</w:t>
      </w:r>
    </w:p>
    <w:p w14:paraId="74A10715" w14:textId="77777777" w:rsidR="00EE226A" w:rsidRPr="00EE226A" w:rsidRDefault="00EE226A" w:rsidP="00EE22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995B5" w14:textId="77777777" w:rsidR="00EE226A" w:rsidRPr="00404A4B" w:rsidRDefault="00EE226A" w:rsidP="00131F8F">
      <w:pPr>
        <w:pStyle w:val="KANumeARAB"/>
        <w:ind w:left="357" w:hanging="357"/>
        <w:rPr>
          <w:b/>
          <w:lang w:eastAsia="pl-PL"/>
        </w:rPr>
      </w:pPr>
      <w:r w:rsidRPr="00404A4B">
        <w:rPr>
          <w:b/>
          <w:lang w:eastAsia="pl-PL"/>
        </w:rPr>
        <w:t xml:space="preserve">W zakresie gospodarki kasowej: </w:t>
      </w:r>
    </w:p>
    <w:p w14:paraId="7F111BF0" w14:textId="77777777" w:rsidR="00EE226A" w:rsidRPr="00EE226A" w:rsidRDefault="00EE226A" w:rsidP="00542F4B">
      <w:pPr>
        <w:pStyle w:val="KANumeARAB"/>
        <w:numPr>
          <w:ilvl w:val="1"/>
          <w:numId w:val="18"/>
        </w:numPr>
        <w:jc w:val="both"/>
        <w:rPr>
          <w:lang w:eastAsia="pl-PL"/>
        </w:rPr>
      </w:pPr>
      <w:r w:rsidRPr="00EE226A">
        <w:rPr>
          <w:b/>
          <w:lang w:eastAsia="pl-PL"/>
        </w:rPr>
        <w:t xml:space="preserve">. </w:t>
      </w:r>
      <w:r w:rsidRPr="00EE226A">
        <w:rPr>
          <w:lang w:eastAsia="pl-PL"/>
        </w:rPr>
        <w:t>W protokole zdawczo-odbiorczym z przekazania kasy w dniu 25.06.2019 r. dokonano poprawy pojedynczych cyfr dotyczących liczby kwitariuszy.</w:t>
      </w:r>
    </w:p>
    <w:p w14:paraId="4E69C890" w14:textId="77777777" w:rsidR="00EE226A" w:rsidRPr="00EE226A" w:rsidRDefault="00EE226A" w:rsidP="00542F4B">
      <w:pPr>
        <w:pStyle w:val="KANumeARAB"/>
        <w:numPr>
          <w:ilvl w:val="1"/>
          <w:numId w:val="18"/>
        </w:numPr>
        <w:jc w:val="both"/>
        <w:rPr>
          <w:lang w:eastAsia="pl-PL"/>
        </w:rPr>
      </w:pPr>
      <w:r w:rsidRPr="00EE226A">
        <w:rPr>
          <w:lang w:eastAsia="pl-PL"/>
        </w:rPr>
        <w:t xml:space="preserve"> W raportach kasowych brak jest symbolu dokumentów, o których mowa w § 22 ust. 5</w:t>
      </w:r>
      <w:r w:rsidR="003A0B84" w:rsidRPr="003A0B84">
        <w:rPr>
          <w:i/>
          <w:iCs/>
          <w:lang w:eastAsia="pl-PL"/>
        </w:rPr>
        <w:t xml:space="preserve"> </w:t>
      </w:r>
      <w:r w:rsidR="003A0B84" w:rsidRPr="00EE226A">
        <w:rPr>
          <w:i/>
          <w:iCs/>
          <w:lang w:eastAsia="pl-PL"/>
        </w:rPr>
        <w:t>Regulaminu gospodarki kasowej</w:t>
      </w:r>
    </w:p>
    <w:p w14:paraId="4B401840" w14:textId="77777777" w:rsidR="00EE226A" w:rsidRPr="00EE226A" w:rsidRDefault="00EE226A" w:rsidP="00542F4B">
      <w:pPr>
        <w:pStyle w:val="KANumeARAB"/>
        <w:numPr>
          <w:ilvl w:val="1"/>
          <w:numId w:val="18"/>
        </w:numPr>
        <w:jc w:val="both"/>
        <w:rPr>
          <w:lang w:eastAsia="pl-PL"/>
        </w:rPr>
      </w:pPr>
      <w:r w:rsidRPr="00EE226A">
        <w:rPr>
          <w:lang w:eastAsia="pl-PL"/>
        </w:rPr>
        <w:t xml:space="preserve"> Na dowodach KW „kasa wypłaci” brak jest podpisu kasjera, jako osoby wypłacającej (§2 ust. 4) oraz brak podpisu osób zatwierdzających dowód wypłaty przez Głównego księgowego i Kierownika jednostki </w:t>
      </w:r>
      <w:bookmarkStart w:id="2" w:name="_Hlk38624119"/>
      <w:r w:rsidRPr="00EE226A">
        <w:rPr>
          <w:lang w:eastAsia="pl-PL"/>
        </w:rPr>
        <w:t xml:space="preserve">(§ 9 ust. 2 oraz § 21 </w:t>
      </w:r>
      <w:r w:rsidRPr="00EE226A">
        <w:rPr>
          <w:i/>
          <w:iCs/>
          <w:lang w:eastAsia="pl-PL"/>
        </w:rPr>
        <w:t>Regulaminu gospodarki kasowej</w:t>
      </w:r>
      <w:bookmarkEnd w:id="2"/>
      <w:r w:rsidRPr="00EE226A">
        <w:rPr>
          <w:i/>
          <w:iCs/>
          <w:lang w:eastAsia="pl-PL"/>
        </w:rPr>
        <w:t>)</w:t>
      </w:r>
      <w:r w:rsidRPr="00EE226A">
        <w:rPr>
          <w:lang w:eastAsia="pl-PL"/>
        </w:rPr>
        <w:t>.</w:t>
      </w:r>
    </w:p>
    <w:p w14:paraId="74EF2437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D5170" w14:textId="77777777" w:rsidR="00EE226A" w:rsidRPr="00EE226A" w:rsidRDefault="00EE226A" w:rsidP="00404A4B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lastRenderedPageBreak/>
        <w:t>Wniosek pokontrolny Nr 4</w:t>
      </w:r>
    </w:p>
    <w:p w14:paraId="5239E81D" w14:textId="77777777" w:rsidR="00EE226A" w:rsidRPr="00EE226A" w:rsidRDefault="00EE226A" w:rsidP="00542F4B">
      <w:pPr>
        <w:pStyle w:val="KANumeARAB"/>
        <w:numPr>
          <w:ilvl w:val="1"/>
          <w:numId w:val="19"/>
        </w:numPr>
        <w:jc w:val="both"/>
        <w:rPr>
          <w:sz w:val="23"/>
          <w:szCs w:val="23"/>
        </w:rPr>
      </w:pPr>
      <w:r w:rsidRPr="00EE226A">
        <w:rPr>
          <w:rFonts w:eastAsia="Times New Roman"/>
          <w:bCs/>
          <w:lang w:eastAsia="pl-PL"/>
        </w:rPr>
        <w:t xml:space="preserve"> Należy przestrzegać zapisów </w:t>
      </w:r>
      <w:r w:rsidRPr="00EE226A">
        <w:rPr>
          <w:rFonts w:eastAsia="Times New Roman"/>
          <w:lang w:eastAsia="pl-PL"/>
        </w:rPr>
        <w:t xml:space="preserve">art. 22 ust. 3 ustawy </w:t>
      </w:r>
      <w:r w:rsidRPr="00EE226A">
        <w:rPr>
          <w:lang w:eastAsia="pl-PL"/>
        </w:rPr>
        <w:t xml:space="preserve">z dnia 29 września 1994 r. </w:t>
      </w:r>
      <w:r w:rsidRPr="00EE226A">
        <w:rPr>
          <w:lang w:eastAsia="pl-PL"/>
        </w:rPr>
        <w:br/>
        <w:t xml:space="preserve">o rachunkowości </w:t>
      </w:r>
      <w:r w:rsidRPr="00EE226A">
        <w:rPr>
          <w:rFonts w:eastAsia="Times New Roman"/>
          <w:lang w:eastAsia="pl-PL"/>
        </w:rPr>
        <w:t>(Dz. U. z 2019 r. poz. 351 ze zm.), który wskazuje, że b</w:t>
      </w:r>
      <w:r w:rsidRPr="00EE226A">
        <w:rPr>
          <w:sz w:val="23"/>
          <w:szCs w:val="23"/>
        </w:rPr>
        <w:t>łędy w dowodach wewnętrznych mogą być poprawiane przez skreślenie błędnej treści lub kwoty, z utrzymaniem czytelności skreślonych  wyrażeń lub liczb, wpisanie treści poprawnej i daty poprawki oraz złożenie</w:t>
      </w:r>
      <w:r w:rsidR="00404A4B" w:rsidRPr="00404A4B">
        <w:rPr>
          <w:sz w:val="23"/>
          <w:szCs w:val="23"/>
        </w:rPr>
        <w:t xml:space="preserve"> </w:t>
      </w:r>
      <w:r w:rsidR="00404A4B" w:rsidRPr="00EE226A">
        <w:rPr>
          <w:sz w:val="23"/>
          <w:szCs w:val="23"/>
        </w:rPr>
        <w:t>podpisu osoby do tego upoważnionej, o ile odrębne przepisy nie stanowią inaczej. Nie można poprawiać pojedynczych liter lub cyfr</w:t>
      </w:r>
      <w:r w:rsidRPr="00EE226A">
        <w:rPr>
          <w:sz w:val="23"/>
          <w:szCs w:val="23"/>
        </w:rPr>
        <w:t xml:space="preserve"> </w:t>
      </w:r>
    </w:p>
    <w:p w14:paraId="128A83BE" w14:textId="77777777" w:rsidR="00EE226A" w:rsidRPr="00EE226A" w:rsidRDefault="00EE226A" w:rsidP="00404A4B">
      <w:pPr>
        <w:pStyle w:val="KANumeARAB"/>
        <w:numPr>
          <w:ilvl w:val="1"/>
          <w:numId w:val="19"/>
        </w:numPr>
        <w:rPr>
          <w:rFonts w:eastAsia="Times New Roman"/>
          <w:i/>
          <w:iCs/>
          <w:lang w:eastAsia="pl-PL"/>
        </w:rPr>
      </w:pPr>
      <w:r w:rsidRPr="00EE226A">
        <w:rPr>
          <w:sz w:val="23"/>
          <w:szCs w:val="23"/>
        </w:rPr>
        <w:t xml:space="preserve">Należy przestrzegać zapisów </w:t>
      </w:r>
      <w:r w:rsidRPr="00EE226A">
        <w:rPr>
          <w:rFonts w:eastAsia="Times New Roman"/>
          <w:lang w:eastAsia="pl-PL"/>
        </w:rPr>
        <w:t xml:space="preserve">§ 22 ust. 5  </w:t>
      </w:r>
      <w:r w:rsidRPr="00EE226A">
        <w:rPr>
          <w:rFonts w:eastAsia="Times New Roman"/>
          <w:i/>
          <w:iCs/>
          <w:lang w:eastAsia="pl-PL"/>
        </w:rPr>
        <w:t>Regulaminu gospodarki kasowej.</w:t>
      </w:r>
    </w:p>
    <w:p w14:paraId="66ECD661" w14:textId="77777777" w:rsidR="00EE226A" w:rsidRPr="00EE226A" w:rsidRDefault="00EE226A" w:rsidP="00542F4B">
      <w:pPr>
        <w:pStyle w:val="KANumeARAB"/>
        <w:numPr>
          <w:ilvl w:val="1"/>
          <w:numId w:val="19"/>
        </w:numPr>
        <w:jc w:val="both"/>
        <w:rPr>
          <w:rFonts w:eastAsia="Times New Roman"/>
          <w:i/>
          <w:iCs/>
          <w:lang w:eastAsia="pl-PL"/>
        </w:rPr>
      </w:pPr>
      <w:r w:rsidRPr="00EE226A">
        <w:rPr>
          <w:rFonts w:eastAsia="Times New Roman"/>
          <w:lang w:eastAsia="pl-PL"/>
        </w:rPr>
        <w:t xml:space="preserve"> Należy przestrzegać zapisów § 9 ust. 2 oraz § 21 </w:t>
      </w:r>
      <w:r w:rsidRPr="00EE226A">
        <w:rPr>
          <w:rFonts w:eastAsia="Times New Roman"/>
          <w:i/>
          <w:iCs/>
          <w:lang w:eastAsia="pl-PL"/>
        </w:rPr>
        <w:t>Regulaminu gospodarki kasowej.</w:t>
      </w:r>
    </w:p>
    <w:p w14:paraId="26E93695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FC8D2" w14:textId="77777777" w:rsidR="00EE226A" w:rsidRPr="00404A4B" w:rsidRDefault="00EE226A" w:rsidP="00131F8F">
      <w:pPr>
        <w:pStyle w:val="KANumeARAB"/>
        <w:ind w:left="357" w:hanging="357"/>
        <w:rPr>
          <w:b/>
          <w:lang w:eastAsia="pl-PL"/>
        </w:rPr>
      </w:pPr>
      <w:r w:rsidRPr="00404A4B">
        <w:rPr>
          <w:b/>
          <w:lang w:eastAsia="pl-PL"/>
        </w:rPr>
        <w:t>W zakresie gospodarki mieniem (w tym ustalania i przestrzegania zasad wynajmu, wydzierżawiania składników mienia):</w:t>
      </w:r>
    </w:p>
    <w:p w14:paraId="33280033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>Na podstawie umowy z dnia 07.02.2018 r. Pedagogiczna Biblioteka Wojewódzka w Kielcach jako trwały zarządca oddała w najem lokal o powierzchni 107,14 m</w:t>
      </w:r>
      <w:r w:rsidRPr="00EE226A">
        <w:rPr>
          <w:vertAlign w:val="superscript"/>
          <w:lang w:eastAsia="pl-PL"/>
        </w:rPr>
        <w:t xml:space="preserve">2 </w:t>
      </w:r>
      <w:r w:rsidRPr="00EE226A">
        <w:rPr>
          <w:lang w:eastAsia="pl-PL"/>
        </w:rPr>
        <w:t xml:space="preserve">znajdujący się na piętrze budynku położonego przy ul. Kościelnej 30 w Starachowicach oraz garaż o powierzchni </w:t>
      </w:r>
      <w:r w:rsidRPr="00EE226A">
        <w:rPr>
          <w:lang w:eastAsia="pl-PL"/>
        </w:rPr>
        <w:br/>
        <w:t>49,73 m</w:t>
      </w:r>
      <w:r w:rsidRPr="00EE226A">
        <w:rPr>
          <w:vertAlign w:val="superscript"/>
          <w:lang w:eastAsia="pl-PL"/>
        </w:rPr>
        <w:t>2</w:t>
      </w:r>
      <w:r w:rsidRPr="00EE226A">
        <w:rPr>
          <w:lang w:eastAsia="pl-PL"/>
        </w:rPr>
        <w:t>, co stanowi łączną powierzchnię 156,87 m</w:t>
      </w:r>
      <w:r w:rsidRPr="00EE226A">
        <w:rPr>
          <w:vertAlign w:val="superscript"/>
          <w:lang w:eastAsia="pl-PL"/>
        </w:rPr>
        <w:t>2</w:t>
      </w:r>
      <w:r w:rsidRPr="00EE226A">
        <w:rPr>
          <w:lang w:eastAsia="pl-PL"/>
        </w:rPr>
        <w:t xml:space="preserve"> . Umowa najmu została zawarta na czas określony od dnia 4 stycznia 2018 r. do dnia 31 grudnia 2018 r. </w:t>
      </w:r>
    </w:p>
    <w:p w14:paraId="209C6B30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W dniu 31.12.2018 r. zawarto aneks do ww. umowy najmu z dnia 07.02.2018 r., mocą którego umowa najmu uległa przedłużeniu na okres od 01.01.2019 r. do 31.12.2019 r. </w:t>
      </w:r>
    </w:p>
    <w:p w14:paraId="2BC8CEEE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Następnie w dniu 31.12.2019 r. zawarto kolejny aneks do ww. umowy najmu z dnia </w:t>
      </w:r>
      <w:r w:rsidRPr="00EE226A">
        <w:rPr>
          <w:lang w:eastAsia="pl-PL"/>
        </w:rPr>
        <w:br/>
        <w:t xml:space="preserve">07.02.2018 r., mocą którego umowa najmu uległa przedłużeniu na okres od 01.01.2020 r. </w:t>
      </w:r>
      <w:r w:rsidRPr="00EE226A">
        <w:rPr>
          <w:lang w:eastAsia="pl-PL"/>
        </w:rPr>
        <w:br/>
        <w:t xml:space="preserve">do 31.12.2020 r. </w:t>
      </w:r>
    </w:p>
    <w:p w14:paraId="51B746AB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>Kontrola wykazała, że Pedagogiczna Biblioteka Wojewódzka w Kielcach, w przypadku oddania w najem ww. nieruchomości w drodze umowy z dnia 07.02.2018 r., nie dopełniła obowiązku zawiadomienia o tym fakcie Zarządu Województwa Świętokrzyskiego. Tym samym, kontrolowana jednostka naruszyła przepisy art. 43 ust. 2 pkt 3 ustawy z dnia 21 sierpnia 1997 roku o gospodarce nieruchomościami (Dz. U. z 2018 r. poz. 121), zgodnie z którymi jednostka organizacyjna, której oddano nieruchomość w trwały zarząd, ma prawo do oddania tej nieruchomości lub jej części w najem z równoczesnym zawiadomieniem właściwego organu i organu nadzorującego, jeżeli umowa jest zawierana na czas oznaczony do 3 lat.</w:t>
      </w:r>
    </w:p>
    <w:p w14:paraId="7F1EEF86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lastRenderedPageBreak/>
        <w:t>Natomiast, w przypadku zawartego w dniu 31.12.2018 r. aneksu do ww. umowy najmu z dnia 07.02.2018 r., mocą którego umowa najmu uległa przedłużeniu na okres od 01.01.2019 r.</w:t>
      </w:r>
      <w:r w:rsidRPr="00EE226A">
        <w:rPr>
          <w:lang w:eastAsia="pl-PL"/>
        </w:rPr>
        <w:br/>
        <w:t xml:space="preserve">do 31.12.2019 r. oraz w przypadku zawartego w dniu 31.12.2019 r. aneksu do ww. umowy najmu z dnia 07.02.2018 r., mocą którego umowa najmu uległa przedłużeniu na okres </w:t>
      </w:r>
      <w:r w:rsidRPr="00EE226A">
        <w:rPr>
          <w:lang w:eastAsia="pl-PL"/>
        </w:rPr>
        <w:br/>
        <w:t xml:space="preserve">od 01.01.2020 r. do 31.12.2020 r., Pedagogiczna Biblioteka Wojewódzka w Kielcach </w:t>
      </w:r>
      <w:r w:rsidRPr="00EE226A">
        <w:rPr>
          <w:lang w:eastAsia="pl-PL"/>
        </w:rPr>
        <w:br/>
        <w:t>nie dopełniła obowiązku uzyskania zgody Zarządu Województwa Świętokrzyskiego.</w:t>
      </w:r>
    </w:p>
    <w:p w14:paraId="60D7ECFA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Kontrolowana jednostka naruszyła przepisy art. 43 ust. 2 pkt 3 ustawy z dnia 21 sierpnia </w:t>
      </w:r>
      <w:r w:rsidRPr="00EE226A">
        <w:rPr>
          <w:lang w:eastAsia="pl-PL"/>
        </w:rPr>
        <w:br/>
        <w:t xml:space="preserve">1997 roku o gospodarce nieruchomościami (Dz. U. z 2018 r. poz. 2204), zgodnie z którymi jednostka organizacyjna, której oddano nieruchomość w trwały zarząd, ma prawo do oddania tej nieruchomości lub jej części w najem z równoczesnym zawiadomieniem właściwego organu i organu nadzorującego, jeżeli umowa jest zawierana na czas oznaczony do 3 lat, albo za zgodą tych organów, jeżeli umowa jest zawierana na czas oznaczony dłuższy niż 3 lata lub czas nieoznaczony, jednak na okres nie dłuższy niż czas, na który został ustanowiony trwały zarząd; zgoda jest wymagana również w przypadku, gdy po umowie zawartej na czas oznaczony strony zawierają kolejne umowy, których przedmiotem jest ta sama nieruchomość. </w:t>
      </w:r>
    </w:p>
    <w:p w14:paraId="56AB120E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Stosownie do przepisu art. 11 ust. 1 ww. ustawy o gospodarce nieruchomościami, organami reprezentującymi jednostki samorządu terytorialnego w sprawach gospodarowania nieruchomościami są ich organy wykonawcze, czyli w niniejszym przypadku Zarząd Województwa Świętokrzyskiego. Zarząd województwa, zgodnie z art. 25d tej ustawy,  gospodaruje wojewódzkim zasobem nieruchomości. </w:t>
      </w:r>
    </w:p>
    <w:p w14:paraId="7BE077C0" w14:textId="77777777" w:rsidR="00EE226A" w:rsidRPr="00EE226A" w:rsidRDefault="00EE226A" w:rsidP="00404A4B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5</w:t>
      </w:r>
      <w:r w:rsidRPr="00EE226A">
        <w:rPr>
          <w:rFonts w:eastAsia="Times New Roman"/>
          <w:lang w:eastAsia="pl-PL"/>
        </w:rPr>
        <w:tab/>
      </w:r>
    </w:p>
    <w:p w14:paraId="6D5F0AB1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W przypadku oddawania przez Pedagogiczną Bibliotekę Wojewódzką w Kielcach (trwałego zarządcę) nieruchomości lub jej części w najem na czas oznaczony do 3 lat, zawiadamiać </w:t>
      </w:r>
      <w:r w:rsidR="00542F4B">
        <w:rPr>
          <w:lang w:eastAsia="pl-PL"/>
        </w:rPr>
        <w:br/>
      </w:r>
      <w:r w:rsidRPr="00EE226A">
        <w:rPr>
          <w:lang w:eastAsia="pl-PL"/>
        </w:rPr>
        <w:t xml:space="preserve">o tym fakcie Zarząd Województwa Świętokrzyskiego. Natomiast w sytuacji, gdy po umowie zawartej na czas oznaczony strony zawierają kolejne umowy, których przedmiotem jest ta sama nieruchomość, przestrzegać obowiązku uzyskania zgody Zarządu Województwa Świętokrzyskiego, stosownie do postanowień art. 43 ust. 2 pkt 3 ustawy z dnia 21 sierpnia </w:t>
      </w:r>
      <w:r w:rsidRPr="00EE226A">
        <w:rPr>
          <w:lang w:eastAsia="pl-PL"/>
        </w:rPr>
        <w:br/>
        <w:t>1997 roku o gospodarce nieruchomościami (Dz. U. z 2020 r. poz. 65 ze zm.).</w:t>
      </w:r>
    </w:p>
    <w:p w14:paraId="722A1193" w14:textId="77777777" w:rsidR="003A0B84" w:rsidRDefault="003A0B84">
      <w:pPr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br w:type="page"/>
      </w:r>
    </w:p>
    <w:p w14:paraId="52F1162F" w14:textId="77777777" w:rsidR="00EE226A" w:rsidRPr="00404A4B" w:rsidRDefault="00EE226A" w:rsidP="00131F8F">
      <w:pPr>
        <w:pStyle w:val="KANumeARAB"/>
        <w:ind w:left="357" w:hanging="357"/>
        <w:rPr>
          <w:b/>
        </w:rPr>
      </w:pPr>
      <w:r w:rsidRPr="00404A4B">
        <w:rPr>
          <w:b/>
        </w:rPr>
        <w:lastRenderedPageBreak/>
        <w:t>W zakresie przestrzegania procedur dotyczących udzielania zamówień publicznych:</w:t>
      </w:r>
    </w:p>
    <w:p w14:paraId="05ECE491" w14:textId="77777777" w:rsidR="00EE226A" w:rsidRPr="00EE226A" w:rsidRDefault="00EE226A" w:rsidP="003A0B84">
      <w:pPr>
        <w:pStyle w:val="KANumeARAB"/>
        <w:numPr>
          <w:ilvl w:val="1"/>
          <w:numId w:val="20"/>
        </w:numPr>
        <w:jc w:val="both"/>
        <w:rPr>
          <w:lang w:eastAsia="pl-PL"/>
        </w:rPr>
      </w:pPr>
      <w:r w:rsidRPr="00EE226A">
        <w:rPr>
          <w:lang w:eastAsia="pl-PL"/>
        </w:rPr>
        <w:t>W przypadku zakresu obowiązków pracownika odpowiedzialnego za przygotowanie i realizację zamówień publicznych z dnia 7.10.2011 r. brak jest uaktualnienia progów zamówień publicznych przy zastosowaniu ustawy Pzp.</w:t>
      </w:r>
    </w:p>
    <w:p w14:paraId="6C0939D5" w14:textId="77777777" w:rsidR="00EE226A" w:rsidRPr="00EE226A" w:rsidRDefault="00EE226A" w:rsidP="003A0B84">
      <w:pPr>
        <w:pStyle w:val="KANumeARAB"/>
        <w:numPr>
          <w:ilvl w:val="1"/>
          <w:numId w:val="20"/>
        </w:numPr>
        <w:jc w:val="both"/>
        <w:rPr>
          <w:lang w:eastAsia="pl-PL"/>
        </w:rPr>
      </w:pPr>
      <w:r w:rsidRPr="00EE226A">
        <w:rPr>
          <w:lang w:eastAsia="pl-PL"/>
        </w:rPr>
        <w:t xml:space="preserve">Na protokole z przeprowadzenia zapytania ofertowego brak jest daty sporządzenia protokołu, co narusza § 5 ust. 6 </w:t>
      </w:r>
      <w:r w:rsidRPr="00EE226A">
        <w:rPr>
          <w:i/>
          <w:iCs/>
          <w:lang w:eastAsia="pl-PL"/>
        </w:rPr>
        <w:t xml:space="preserve">Regulaminu udzielania zamówień publicznych </w:t>
      </w:r>
      <w:r w:rsidR="003A0B84">
        <w:rPr>
          <w:i/>
          <w:iCs/>
          <w:lang w:eastAsia="pl-PL"/>
        </w:rPr>
        <w:br/>
      </w:r>
      <w:r w:rsidRPr="00EE226A">
        <w:rPr>
          <w:i/>
          <w:iCs/>
          <w:lang w:eastAsia="pl-PL"/>
        </w:rPr>
        <w:t>o wartości szacunkowej nieprzekraczającej równowartości kwoty 30 000,00 euro.</w:t>
      </w:r>
      <w:r w:rsidRPr="00EE226A">
        <w:rPr>
          <w:lang w:eastAsia="pl-PL"/>
        </w:rPr>
        <w:tab/>
        <w:t xml:space="preserve">  Brak jest chronologii w prowadzeniu procedury udzielania zamówienia w trybie zapytania ofertowego, ponieważ </w:t>
      </w:r>
      <w:r w:rsidR="00404A4B">
        <w:rPr>
          <w:lang w:eastAsia="pl-PL"/>
        </w:rPr>
        <w:t xml:space="preserve"> </w:t>
      </w:r>
      <w:r w:rsidRPr="00EE226A">
        <w:rPr>
          <w:lang w:eastAsia="pl-PL"/>
        </w:rPr>
        <w:t>w pierwszej kolejności została wysłana informacja do oferenta o wyborze oferty, a dopiero później sporząd</w:t>
      </w:r>
      <w:r w:rsidR="00CE3655">
        <w:rPr>
          <w:lang w:eastAsia="pl-PL"/>
        </w:rPr>
        <w:t>zony został  protokół z wyboru.</w:t>
      </w:r>
    </w:p>
    <w:p w14:paraId="38FC9232" w14:textId="77777777" w:rsidR="00EE226A" w:rsidRPr="00EE226A" w:rsidRDefault="00EE226A" w:rsidP="003A0B84">
      <w:pPr>
        <w:pStyle w:val="KANumeARAB"/>
        <w:numPr>
          <w:ilvl w:val="1"/>
          <w:numId w:val="20"/>
        </w:numPr>
        <w:jc w:val="both"/>
        <w:rPr>
          <w:lang w:eastAsia="pl-PL"/>
        </w:rPr>
      </w:pPr>
      <w:r w:rsidRPr="00EE226A">
        <w:rPr>
          <w:lang w:eastAsia="pl-PL"/>
        </w:rPr>
        <w:t xml:space="preserve">Przy sporządzaniu aneksu nie dołożono staranności w jego przygotowaniu, ponieważ brak jest wskazania, jakiej umowy dotyczy aneks (nr umowy) oraz brak wskazania daty zawarcia umowy. </w:t>
      </w:r>
    </w:p>
    <w:p w14:paraId="4C815EB5" w14:textId="77777777" w:rsidR="00EE226A" w:rsidRPr="00EE226A" w:rsidRDefault="00EE226A" w:rsidP="00404A4B">
      <w:pPr>
        <w:pStyle w:val="KANag1"/>
        <w:rPr>
          <w:rFonts w:eastAsia="Times New Roman"/>
          <w:lang w:eastAsia="pl-PL"/>
        </w:rPr>
      </w:pPr>
      <w:bookmarkStart w:id="3" w:name="_Hlk38626373"/>
      <w:r w:rsidRPr="00EE226A">
        <w:rPr>
          <w:rFonts w:eastAsia="Times New Roman"/>
          <w:lang w:eastAsia="pl-PL"/>
        </w:rPr>
        <w:t>Wniosek pokontrolny Nr 6</w:t>
      </w:r>
    </w:p>
    <w:bookmarkEnd w:id="3"/>
    <w:p w14:paraId="1A1B17BA" w14:textId="77777777" w:rsidR="00EE226A" w:rsidRPr="00EE226A" w:rsidRDefault="00EE226A" w:rsidP="003A0B84">
      <w:pPr>
        <w:pStyle w:val="KANumeARAB"/>
        <w:numPr>
          <w:ilvl w:val="1"/>
          <w:numId w:val="21"/>
        </w:numPr>
        <w:jc w:val="both"/>
        <w:rPr>
          <w:lang w:eastAsia="pl-PL"/>
        </w:rPr>
      </w:pPr>
      <w:r w:rsidRPr="00EE226A">
        <w:rPr>
          <w:lang w:eastAsia="pl-PL"/>
        </w:rPr>
        <w:t xml:space="preserve">Należy zaktualizować zakres obowiązków pracownika odpowiedzialnego </w:t>
      </w:r>
      <w:r w:rsidRPr="00EE226A">
        <w:rPr>
          <w:lang w:eastAsia="pl-PL"/>
        </w:rPr>
        <w:br/>
        <w:t xml:space="preserve">za przygotowanie i realizację zamówień publicznych do progów zamówień publicznych wynikających z ustawy z dnia 29 stycznia 2004 r. Prawo zamówień publicznych (Dz. U. </w:t>
      </w:r>
      <w:r w:rsidR="00404A4B">
        <w:rPr>
          <w:lang w:eastAsia="pl-PL"/>
        </w:rPr>
        <w:t xml:space="preserve"> </w:t>
      </w:r>
      <w:r w:rsidRPr="00EE226A">
        <w:rPr>
          <w:lang w:eastAsia="pl-PL"/>
        </w:rPr>
        <w:t>z 2019 r. poz. 1843).</w:t>
      </w:r>
    </w:p>
    <w:p w14:paraId="1C6A0979" w14:textId="77777777" w:rsidR="00EE226A" w:rsidRPr="00EE226A" w:rsidRDefault="00EE226A" w:rsidP="003A0B84">
      <w:pPr>
        <w:pStyle w:val="KANumeARAB"/>
        <w:numPr>
          <w:ilvl w:val="1"/>
          <w:numId w:val="21"/>
        </w:numPr>
        <w:jc w:val="both"/>
        <w:rPr>
          <w:i/>
          <w:iCs/>
          <w:lang w:eastAsia="pl-PL"/>
        </w:rPr>
      </w:pPr>
      <w:r w:rsidRPr="00EE226A">
        <w:rPr>
          <w:lang w:eastAsia="pl-PL"/>
        </w:rPr>
        <w:t xml:space="preserve">Należy przestrzegać postanowień </w:t>
      </w:r>
      <w:r w:rsidRPr="00EE226A">
        <w:rPr>
          <w:i/>
          <w:iCs/>
          <w:lang w:eastAsia="pl-PL"/>
        </w:rPr>
        <w:t xml:space="preserve">Regulaminu udzielania zamówień publicznych </w:t>
      </w:r>
      <w:r w:rsidRPr="00EE226A">
        <w:rPr>
          <w:i/>
          <w:iCs/>
          <w:lang w:eastAsia="pl-PL"/>
        </w:rPr>
        <w:br/>
        <w:t>o wartości szacunkowej nieprzekraczającej równowartości kwoty 30 000,00 euro.</w:t>
      </w:r>
    </w:p>
    <w:p w14:paraId="2AFA24B3" w14:textId="77777777" w:rsidR="00EE226A" w:rsidRDefault="00EE226A" w:rsidP="003A0B84">
      <w:pPr>
        <w:pStyle w:val="KANumeARAB"/>
        <w:numPr>
          <w:ilvl w:val="1"/>
          <w:numId w:val="21"/>
        </w:numPr>
        <w:jc w:val="both"/>
        <w:rPr>
          <w:lang w:eastAsia="pl-PL"/>
        </w:rPr>
      </w:pPr>
      <w:r w:rsidRPr="00EE226A">
        <w:rPr>
          <w:lang w:eastAsia="pl-PL"/>
        </w:rPr>
        <w:t xml:space="preserve">Należy dołożyć staranności przy przygotowywaniu dokumentacji tworzonej </w:t>
      </w:r>
      <w:r w:rsidRPr="00EE226A">
        <w:rPr>
          <w:lang w:eastAsia="pl-PL"/>
        </w:rPr>
        <w:tab/>
        <w:t>przy zastosowaniu ustawy Pzp.</w:t>
      </w:r>
    </w:p>
    <w:p w14:paraId="595EB447" w14:textId="77777777" w:rsidR="00404A4B" w:rsidRPr="00EE226A" w:rsidRDefault="00404A4B" w:rsidP="00404A4B">
      <w:pPr>
        <w:pStyle w:val="KANumeARAB"/>
        <w:numPr>
          <w:ilvl w:val="0"/>
          <w:numId w:val="0"/>
        </w:numPr>
        <w:ind w:left="720"/>
        <w:rPr>
          <w:lang w:eastAsia="pl-PL"/>
        </w:rPr>
      </w:pPr>
    </w:p>
    <w:p w14:paraId="2136EC0D" w14:textId="77777777" w:rsidR="00EE226A" w:rsidRPr="00404A4B" w:rsidRDefault="00EE226A" w:rsidP="00131F8F">
      <w:pPr>
        <w:pStyle w:val="KANumeARAB"/>
        <w:ind w:left="357" w:hanging="357"/>
        <w:rPr>
          <w:b/>
          <w:lang w:eastAsia="pl-PL"/>
        </w:rPr>
      </w:pPr>
      <w:r w:rsidRPr="00404A4B">
        <w:rPr>
          <w:b/>
          <w:lang w:eastAsia="pl-PL"/>
        </w:rPr>
        <w:t>W zakresie terminowości przekazywania deklaracji PFRON:</w:t>
      </w:r>
    </w:p>
    <w:p w14:paraId="530A638C" w14:textId="77777777" w:rsidR="00EE226A" w:rsidRPr="00EE226A" w:rsidRDefault="00EE226A" w:rsidP="00404A4B">
      <w:pPr>
        <w:pStyle w:val="KANormalny"/>
        <w:rPr>
          <w:lang w:eastAsia="pl-PL"/>
        </w:rPr>
      </w:pPr>
      <w:r w:rsidRPr="00EE226A">
        <w:rPr>
          <w:bCs/>
          <w:lang w:eastAsia="pl-PL"/>
        </w:rPr>
        <w:t xml:space="preserve">Z analizy dokumentów przedstawionych do kontroli wynika, iż deklaracja </w:t>
      </w:r>
      <w:bookmarkStart w:id="4" w:name="_Hlk33000148"/>
      <w:r w:rsidRPr="00EE226A">
        <w:rPr>
          <w:bCs/>
          <w:lang w:eastAsia="pl-PL"/>
        </w:rPr>
        <w:t>„</w:t>
      </w:r>
      <w:r w:rsidRPr="00EE226A">
        <w:rPr>
          <w:lang w:eastAsia="pl-PL"/>
        </w:rPr>
        <w:t xml:space="preserve">DEK-I-a” </w:t>
      </w:r>
      <w:bookmarkEnd w:id="4"/>
      <w:r w:rsidRPr="00EE226A">
        <w:rPr>
          <w:lang w:eastAsia="pl-PL"/>
        </w:rPr>
        <w:t xml:space="preserve">za miesiąc listopad 2019 roku została złożona po terminie, tj. 31.12.2019 roku, natomiast termin wpłaty na Fundusz został zachowany. </w:t>
      </w:r>
    </w:p>
    <w:p w14:paraId="5099CDDF" w14:textId="77777777" w:rsidR="00EE226A" w:rsidRPr="00EE226A" w:rsidRDefault="00EE226A" w:rsidP="00EE22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BBFF3" w14:textId="77777777" w:rsidR="00EE226A" w:rsidRPr="00EE226A" w:rsidRDefault="00EE226A" w:rsidP="00D6463F">
      <w:pPr>
        <w:pStyle w:val="KANag1"/>
        <w:rPr>
          <w:rFonts w:eastAsia="Times New Roman"/>
          <w:lang w:eastAsia="pl-PL"/>
        </w:rPr>
      </w:pPr>
      <w:bookmarkStart w:id="5" w:name="_Hlk38627949"/>
      <w:r w:rsidRPr="00EE226A">
        <w:rPr>
          <w:rFonts w:eastAsia="Times New Roman"/>
          <w:lang w:eastAsia="pl-PL"/>
        </w:rPr>
        <w:lastRenderedPageBreak/>
        <w:t>Wniosek pokontrolny Nr 7</w:t>
      </w:r>
    </w:p>
    <w:bookmarkEnd w:id="5"/>
    <w:p w14:paraId="217FA240" w14:textId="77777777" w:rsidR="00EE226A" w:rsidRPr="00EE226A" w:rsidRDefault="00EE226A" w:rsidP="00D6463F">
      <w:pPr>
        <w:pStyle w:val="KANormalny"/>
        <w:rPr>
          <w:shd w:val="clear" w:color="auto" w:fill="FFFFFF"/>
          <w:lang w:eastAsia="pl-PL"/>
        </w:rPr>
      </w:pPr>
      <w:r w:rsidRPr="00EE226A">
        <w:rPr>
          <w:bCs/>
          <w:lang w:eastAsia="pl-PL"/>
        </w:rPr>
        <w:t xml:space="preserve">Należy przestrzegać terminu przekazywania deklaracji „DEK-I-a” wynikającego z </w:t>
      </w:r>
      <w:r w:rsidRPr="00EE226A">
        <w:rPr>
          <w:shd w:val="clear" w:color="auto" w:fill="FFFFFF"/>
          <w:lang w:eastAsia="pl-PL"/>
        </w:rPr>
        <w:t xml:space="preserve">art. 49 ust. 2 ustawy z dnia 27 sierpnia 1997 r. o rehabilitacji zawodowej i społecznej oraz zatrudnianiu osób </w:t>
      </w:r>
      <w:bookmarkStart w:id="6" w:name="_Hlk33000677"/>
      <w:r w:rsidRPr="00EE226A">
        <w:rPr>
          <w:shd w:val="clear" w:color="auto" w:fill="FFFFFF"/>
          <w:lang w:eastAsia="pl-PL"/>
        </w:rPr>
        <w:t>niepełnosprawnych (Dz. U. z 2020 r. poz. 426)</w:t>
      </w:r>
      <w:bookmarkEnd w:id="6"/>
      <w:r w:rsidRPr="00EE226A">
        <w:rPr>
          <w:shd w:val="clear" w:color="auto" w:fill="FFFFFF"/>
          <w:lang w:eastAsia="pl-PL"/>
        </w:rPr>
        <w:t>, który stanowi, że pracodawcy dokonują wpłat w terminie do dnia 20 następnego miesiąca po miesiącu, w którym zaistniały okoliczności powodujące powstanie obowiązku wpłat, składając równocześnie Zarządowi Funduszu deklaracje miesięczne i roczne poprzez teletransmisje danych w formie dokumentu elektronicznego według wzoru ustalonego, w drodze rozporządzenia, przez ministra właściwego do spraw zabezpieczenia społecznego.</w:t>
      </w:r>
    </w:p>
    <w:p w14:paraId="388023FA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</w:pPr>
    </w:p>
    <w:p w14:paraId="26F1068A" w14:textId="77777777" w:rsidR="00EE226A" w:rsidRPr="00D6463F" w:rsidRDefault="00EE226A" w:rsidP="00131F8F">
      <w:pPr>
        <w:pStyle w:val="KANumeARAB"/>
        <w:ind w:left="357" w:hanging="357"/>
        <w:rPr>
          <w:b/>
          <w:lang w:eastAsia="pl-PL"/>
        </w:rPr>
      </w:pPr>
      <w:r w:rsidRPr="00D6463F">
        <w:rPr>
          <w:b/>
          <w:color w:val="1B1B1B"/>
          <w:shd w:val="clear" w:color="auto" w:fill="FFFFFF"/>
          <w:lang w:eastAsia="pl-PL"/>
        </w:rPr>
        <w:t xml:space="preserve"> W zakresie </w:t>
      </w:r>
      <w:r w:rsidRPr="00D6463F">
        <w:rPr>
          <w:b/>
          <w:lang w:eastAsia="pl-PL"/>
        </w:rPr>
        <w:t>wynagrodzenia z tytułu umów cywilnoprawnych (w tym z własnymi pracownikami):</w:t>
      </w:r>
    </w:p>
    <w:p w14:paraId="07949203" w14:textId="77777777" w:rsidR="00EE226A" w:rsidRPr="00EE226A" w:rsidRDefault="00EE226A" w:rsidP="00542F4B">
      <w:pPr>
        <w:pStyle w:val="KANumeARAB"/>
        <w:numPr>
          <w:ilvl w:val="1"/>
          <w:numId w:val="22"/>
        </w:numPr>
        <w:jc w:val="both"/>
        <w:rPr>
          <w:lang w:eastAsia="pl-PL"/>
        </w:rPr>
      </w:pPr>
      <w:r w:rsidRPr="00EE226A">
        <w:rPr>
          <w:lang w:eastAsia="pl-PL"/>
        </w:rPr>
        <w:t xml:space="preserve">Na rachunku do umów o dzieło stwierdzono brak poprawnej podstawy wystawienia rachunków, brak sprawdzenia dokumentu księgowego pod względem formalnym oraz brak daty sprawdzenia dokumentu pod względem rachunkowym </w:t>
      </w:r>
      <w:r w:rsidR="003A0B84">
        <w:rPr>
          <w:lang w:eastAsia="pl-PL"/>
        </w:rPr>
        <w:br/>
      </w:r>
      <w:r w:rsidRPr="00EE226A">
        <w:rPr>
          <w:lang w:eastAsia="pl-PL"/>
        </w:rPr>
        <w:t>i brak dat przy zatwierdzeniu przez głównego księgowego oraz dyrektora Biblioteki. Ponadto brak klauzuli, że dzieło zostało wykonane osobiście.</w:t>
      </w:r>
      <w:r w:rsidRPr="00EE226A">
        <w:rPr>
          <w:lang w:eastAsia="pl-PL"/>
        </w:rPr>
        <w:tab/>
      </w:r>
    </w:p>
    <w:p w14:paraId="69B22134" w14:textId="77777777" w:rsidR="00EE226A" w:rsidRPr="00EE226A" w:rsidRDefault="00EE226A" w:rsidP="00542F4B">
      <w:pPr>
        <w:pStyle w:val="KANumeARAB"/>
        <w:numPr>
          <w:ilvl w:val="1"/>
          <w:numId w:val="22"/>
        </w:numPr>
        <w:jc w:val="both"/>
        <w:rPr>
          <w:lang w:eastAsia="pl-PL"/>
        </w:rPr>
      </w:pPr>
      <w:r w:rsidRPr="00EE226A">
        <w:rPr>
          <w:lang w:eastAsia="pl-PL"/>
        </w:rPr>
        <w:t xml:space="preserve">W umowach o dzieło, które zostały poddane kontroli nie dokonano stosownego zapisu o przeniesieniu praw autorskich ani też nie sporządzono dodatkowego dokumentu, który przekazywałby prawa autorskie lub udzielił licencji podmiotowi zamawiającemu. W przypadku braku takich zapisów 50% koszty uzyskania przychodów nie powinny zostać naliczone. </w:t>
      </w:r>
    </w:p>
    <w:p w14:paraId="71B0B6DB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3F023" w14:textId="77777777" w:rsidR="00EE226A" w:rsidRPr="00EE226A" w:rsidRDefault="00EE226A" w:rsidP="00D6463F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8</w:t>
      </w:r>
    </w:p>
    <w:p w14:paraId="4C003CDD" w14:textId="77777777" w:rsidR="00EE226A" w:rsidRPr="00EE226A" w:rsidRDefault="00EE226A" w:rsidP="00542F4B">
      <w:pPr>
        <w:pStyle w:val="KANumeARAB"/>
        <w:numPr>
          <w:ilvl w:val="1"/>
          <w:numId w:val="23"/>
        </w:numPr>
        <w:jc w:val="both"/>
        <w:rPr>
          <w:lang w:eastAsia="pl-PL"/>
        </w:rPr>
      </w:pPr>
      <w:r w:rsidRPr="00EE226A">
        <w:rPr>
          <w:lang w:eastAsia="pl-PL"/>
        </w:rPr>
        <w:t xml:space="preserve"> Należy dołożyć staranności przy sporządzaniu dokumentów księgowych, którym jest m.in. rachunek do umowy o dzieło. Należy również przestrzegać zapisów § 13 ust.1 pkt 2 </w:t>
      </w:r>
      <w:r w:rsidRPr="00EE226A">
        <w:rPr>
          <w:i/>
          <w:iCs/>
          <w:lang w:eastAsia="pl-PL"/>
        </w:rPr>
        <w:t>Instrukcji sporządzania, obiegu i kontroli dokumentów</w:t>
      </w:r>
      <w:r w:rsidRPr="00EE226A">
        <w:rPr>
          <w:lang w:eastAsia="pl-PL"/>
        </w:rPr>
        <w:t xml:space="preserve"> </w:t>
      </w:r>
      <w:r w:rsidR="003A0B84">
        <w:rPr>
          <w:lang w:eastAsia="pl-PL"/>
        </w:rPr>
        <w:br/>
      </w:r>
      <w:r w:rsidRPr="00EE226A">
        <w:rPr>
          <w:lang w:eastAsia="pl-PL"/>
        </w:rPr>
        <w:t>w Pedagog</w:t>
      </w:r>
      <w:r w:rsidR="00542F4B">
        <w:rPr>
          <w:lang w:eastAsia="pl-PL"/>
        </w:rPr>
        <w:t xml:space="preserve">icznej Bibliotece Wojewódzkiej </w:t>
      </w:r>
      <w:r w:rsidRPr="00EE226A">
        <w:rPr>
          <w:lang w:eastAsia="pl-PL"/>
        </w:rPr>
        <w:t>w Kielcach, w rozdziale III „</w:t>
      </w:r>
      <w:r w:rsidRPr="00EE226A">
        <w:rPr>
          <w:i/>
          <w:iCs/>
          <w:lang w:eastAsia="pl-PL"/>
        </w:rPr>
        <w:t>Dokumenty wypłat wynagrodzeń i innych świadczeń”</w:t>
      </w:r>
      <w:r w:rsidRPr="00EE226A">
        <w:rPr>
          <w:lang w:eastAsia="pl-PL"/>
        </w:rPr>
        <w:t>.</w:t>
      </w:r>
    </w:p>
    <w:p w14:paraId="402BD56F" w14:textId="77777777" w:rsidR="00EE226A" w:rsidRDefault="003A0B84" w:rsidP="00542F4B">
      <w:pPr>
        <w:pStyle w:val="KANumeARAB"/>
        <w:numPr>
          <w:ilvl w:val="1"/>
          <w:numId w:val="23"/>
        </w:numPr>
        <w:jc w:val="both"/>
        <w:rPr>
          <w:lang w:eastAsia="pl-PL"/>
        </w:rPr>
      </w:pPr>
      <w:r>
        <w:rPr>
          <w:lang w:eastAsia="pl-PL"/>
        </w:rPr>
        <w:t xml:space="preserve"> </w:t>
      </w:r>
      <w:r w:rsidR="00EE226A" w:rsidRPr="00EE226A">
        <w:rPr>
          <w:lang w:eastAsia="pl-PL"/>
        </w:rPr>
        <w:t xml:space="preserve">Należy przestrzegać zapisu art. 22 ust. 9 pkt 3 ustawy z dnia 26 lipca 1991 r. </w:t>
      </w:r>
      <w:r>
        <w:rPr>
          <w:lang w:eastAsia="pl-PL"/>
        </w:rPr>
        <w:br/>
      </w:r>
      <w:r w:rsidR="00EE226A" w:rsidRPr="00EE226A">
        <w:rPr>
          <w:lang w:eastAsia="pl-PL"/>
        </w:rPr>
        <w:t xml:space="preserve">o podatku dochodowym od osób fizycznych (Dz. U. z 2019 r. poz. 1387 ze zm.) </w:t>
      </w:r>
      <w:r w:rsidR="00EE226A" w:rsidRPr="00EE226A">
        <w:rPr>
          <w:lang w:eastAsia="pl-PL"/>
        </w:rPr>
        <w:lastRenderedPageBreak/>
        <w:t>przy stosowaniu wysokości 50% kosztów uzyskania przychodu z tytułu korzystania przez twórców z praw  autorskich.</w:t>
      </w:r>
    </w:p>
    <w:p w14:paraId="6CA7D36C" w14:textId="77777777" w:rsidR="00131F8F" w:rsidRPr="00EE226A" w:rsidRDefault="00131F8F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6B6BD" w14:textId="77777777" w:rsidR="00EE226A" w:rsidRPr="00D6463F" w:rsidRDefault="00EE226A" w:rsidP="00131F8F">
      <w:pPr>
        <w:pStyle w:val="KANumeARAB"/>
        <w:ind w:left="357" w:hanging="357"/>
        <w:rPr>
          <w:b/>
          <w:lang w:eastAsia="pl-PL"/>
        </w:rPr>
      </w:pPr>
      <w:r w:rsidRPr="00D6463F">
        <w:rPr>
          <w:b/>
          <w:lang w:eastAsia="pl-PL"/>
        </w:rPr>
        <w:t>W zakresie kompletności obowiązującej w jednostce polityki rachunkowości:</w:t>
      </w:r>
    </w:p>
    <w:p w14:paraId="687D6F10" w14:textId="77777777" w:rsidR="00EE226A" w:rsidRPr="00EE226A" w:rsidRDefault="00EE226A" w:rsidP="00D6463F">
      <w:pPr>
        <w:pStyle w:val="KANormalny"/>
        <w:rPr>
          <w:b/>
          <w:lang w:eastAsia="pl-PL"/>
        </w:rPr>
      </w:pPr>
      <w:r w:rsidRPr="00EE226A">
        <w:rPr>
          <w:lang w:eastAsia="pl-PL"/>
        </w:rPr>
        <w:t>W rozdziale IX ,,Wykaz zbiorów danych tworzących księgi rachunkowe” Zasad rachunkowości wprowadzonych Zarządzeniem Nr 3/2018 Dyrektora Pedagogicznej Biblioteki Wojewódzkiej w Kielcach z dnia 3 stycznia 2018 r. wskazano, że metodą ręczną prowadzone są księgi pomocnicze w formie książek inwentarzowych do następujących kont księgi głównej: 011, 013, 014, 020.</w:t>
      </w:r>
      <w:r w:rsidRPr="00EE226A">
        <w:rPr>
          <w:lang w:eastAsia="pl-PL"/>
        </w:rPr>
        <w:tab/>
        <w:t xml:space="preserve"> </w:t>
      </w:r>
      <w:r w:rsidRPr="00EE226A">
        <w:rPr>
          <w:lang w:eastAsia="pl-PL"/>
        </w:rPr>
        <w:br/>
        <w:t xml:space="preserve">Kontrola wykazała, że ręcznie prowadzone są księgi inwentarzowe do kont: 011 ,,Środki trwałe”, 013 ,,Pozostałe środki trwałe”, 020 ,,Wartości niematerialne i prawne”. </w:t>
      </w:r>
      <w:r w:rsidRPr="00EE226A">
        <w:rPr>
          <w:lang w:eastAsia="pl-PL"/>
        </w:rPr>
        <w:br/>
        <w:t>Natomiast ewidencja w formie ksiąg inwentarzowych księgozbiorów w ramach konta 014 ,,Zbiory biblioteczne” prowadzona jest metodą elektroniczną.</w:t>
      </w:r>
      <w:r w:rsidRPr="00EE226A">
        <w:rPr>
          <w:lang w:eastAsia="pl-PL"/>
        </w:rPr>
        <w:tab/>
      </w:r>
    </w:p>
    <w:p w14:paraId="2F1AA323" w14:textId="77777777" w:rsidR="00EE226A" w:rsidRPr="00EE226A" w:rsidRDefault="00EE226A" w:rsidP="00D6463F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Stosownie do art. 10 ust. 1 pkt 3 lit. a ustawy z dnia 29 września 1994 roku o rachunkowości </w:t>
      </w:r>
      <w:r w:rsidRPr="00EE226A">
        <w:rPr>
          <w:lang w:eastAsia="pl-PL"/>
        </w:rPr>
        <w:br/>
        <w:t>(Dz. U. z 2019 r. poz. 351 ze zm.), jednostka powinna posiadać dokumentację opisującą przyjęte przez nią zasady (politykę) rachunkowości, a w szczególności dotyczące sposobu prowadzenia ksiąg rachunkowych, w tym co najmniej zasady prowadzenia kont ksiąg pomocniczych. Obowiązującą politykę rachunkowości ustala w formie pisemnej oraz  aktualizuje kierownik jednostki, zgodnie z art. 10 ust. 2 tej ustawy.</w:t>
      </w:r>
    </w:p>
    <w:p w14:paraId="2BF145E4" w14:textId="77777777" w:rsidR="00EE226A" w:rsidRPr="00EE226A" w:rsidRDefault="00EE226A" w:rsidP="00EE226A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212FCF0" w14:textId="77777777" w:rsidR="00EE226A" w:rsidRPr="00EE226A" w:rsidRDefault="00EE226A" w:rsidP="00D6463F">
      <w:pPr>
        <w:pStyle w:val="KANag1"/>
        <w:rPr>
          <w:color w:val="FF0000"/>
          <w:lang w:eastAsia="pl-PL"/>
        </w:rPr>
      </w:pPr>
      <w:r w:rsidRPr="00EE226A">
        <w:rPr>
          <w:color w:val="FF0000"/>
          <w:lang w:eastAsia="pl-PL"/>
        </w:rPr>
        <w:t xml:space="preserve"> </w:t>
      </w:r>
      <w:r w:rsidRPr="00EE226A">
        <w:rPr>
          <w:lang w:eastAsia="pl-PL"/>
        </w:rPr>
        <w:t>Wniosek pokontrolny Nr 9</w:t>
      </w:r>
      <w:r w:rsidRPr="00EE226A">
        <w:rPr>
          <w:color w:val="FF0000"/>
          <w:lang w:eastAsia="pl-PL"/>
        </w:rPr>
        <w:tab/>
      </w:r>
    </w:p>
    <w:p w14:paraId="0D7E7D79" w14:textId="77777777" w:rsidR="00EE226A" w:rsidRPr="00EE226A" w:rsidRDefault="00EE226A" w:rsidP="00D6463F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Stosownie do art. 10 ust. 1 pkt 3 lit. a i art. 10 ust. 2 ustawy z dnia 29 września 1994 roku </w:t>
      </w:r>
      <w:r w:rsidR="00542F4B">
        <w:rPr>
          <w:lang w:eastAsia="pl-PL"/>
        </w:rPr>
        <w:br/>
      </w:r>
      <w:r w:rsidRPr="00EE226A">
        <w:rPr>
          <w:lang w:eastAsia="pl-PL"/>
        </w:rPr>
        <w:t>o rachunkowości (Dz. U. z 2019 r. poz. 351 ze zm.), dokonać zmian w Polityce rachunkowości w zakresie sposobu prowadzenia ksiąg pomocniczych do konta 014 ,,Zbiory biblioteczne”,</w:t>
      </w:r>
      <w:r w:rsidR="003A0B84">
        <w:rPr>
          <w:lang w:eastAsia="pl-PL"/>
        </w:rPr>
        <w:t xml:space="preserve"> </w:t>
      </w:r>
      <w:r w:rsidRPr="00EE226A">
        <w:rPr>
          <w:lang w:eastAsia="pl-PL"/>
        </w:rPr>
        <w:t>wskazując, że księgi inwentarzowe księgozbiorów prowadzone są metodą elektroniczną.</w:t>
      </w:r>
    </w:p>
    <w:p w14:paraId="48A04F37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0BDD07" w14:textId="77777777" w:rsidR="00EE226A" w:rsidRPr="00281601" w:rsidRDefault="00EE226A" w:rsidP="00131F8F">
      <w:pPr>
        <w:pStyle w:val="KANumeARAB"/>
        <w:ind w:left="357" w:hanging="357"/>
        <w:rPr>
          <w:b/>
          <w:lang w:eastAsia="pl-PL"/>
        </w:rPr>
      </w:pPr>
      <w:r w:rsidRPr="00281601">
        <w:rPr>
          <w:b/>
          <w:lang w:eastAsia="pl-PL"/>
        </w:rPr>
        <w:t>W zakresie zarządzania systemem finansowo - księgowym:</w:t>
      </w:r>
    </w:p>
    <w:p w14:paraId="672B2C88" w14:textId="77777777" w:rsidR="00EE226A" w:rsidRPr="00EE226A" w:rsidRDefault="00EE226A" w:rsidP="00542F4B">
      <w:pPr>
        <w:pStyle w:val="KANumeARAB"/>
        <w:numPr>
          <w:ilvl w:val="1"/>
          <w:numId w:val="24"/>
        </w:numPr>
        <w:ind w:left="714" w:hanging="357"/>
        <w:jc w:val="both"/>
        <w:rPr>
          <w:lang w:eastAsia="pl-PL"/>
        </w:rPr>
      </w:pPr>
      <w:r w:rsidRPr="00EE226A">
        <w:rPr>
          <w:lang w:eastAsia="pl-PL"/>
        </w:rPr>
        <w:t xml:space="preserve">Zgodnie z art. 10. ust 1. pkt 3 lit. c ustawy z dnia 29 września 1994 roku </w:t>
      </w:r>
      <w:r w:rsidR="00542F4B">
        <w:rPr>
          <w:lang w:eastAsia="pl-PL"/>
        </w:rPr>
        <w:br/>
      </w:r>
      <w:r w:rsidRPr="00EE226A">
        <w:rPr>
          <w:lang w:eastAsia="pl-PL"/>
        </w:rPr>
        <w:t xml:space="preserve">o rachunkowości, w polityce rachunkowości należy po każdej aktualizacji systemu, na </w:t>
      </w:r>
      <w:r w:rsidRPr="00EE226A">
        <w:rPr>
          <w:lang w:eastAsia="pl-PL"/>
        </w:rPr>
        <w:lastRenderedPageBreak/>
        <w:t>bieżąco przechowywać rejestr używanej wersji oprogramowania wraz z datą rozpoczęcia jego eksploatacji. Brak prowadzenia takiego rejestru.</w:t>
      </w:r>
    </w:p>
    <w:p w14:paraId="7E58592F" w14:textId="77777777" w:rsidR="00EE226A" w:rsidRPr="00EE226A" w:rsidRDefault="00EE226A" w:rsidP="00131F8F">
      <w:pPr>
        <w:pStyle w:val="KANumeARAB"/>
        <w:numPr>
          <w:ilvl w:val="1"/>
          <w:numId w:val="24"/>
        </w:numPr>
        <w:ind w:left="714" w:hanging="357"/>
        <w:jc w:val="both"/>
        <w:rPr>
          <w:u w:val="single"/>
          <w:lang w:eastAsia="pl-PL"/>
        </w:rPr>
      </w:pPr>
      <w:r w:rsidRPr="00EE226A">
        <w:rPr>
          <w:lang w:eastAsia="pl-PL"/>
        </w:rPr>
        <w:t xml:space="preserve">Zgodnie z art. 10 ust. 1 pkt 3 lit b ustawy z dnia 29 września 1994 roku </w:t>
      </w:r>
      <w:r w:rsidR="00542F4B">
        <w:rPr>
          <w:lang w:eastAsia="pl-PL"/>
        </w:rPr>
        <w:br/>
      </w:r>
      <w:r w:rsidRPr="00EE226A">
        <w:rPr>
          <w:lang w:eastAsia="pl-PL"/>
        </w:rPr>
        <w:t xml:space="preserve">o rachunkowości, przy prowadzeniu ksiąg rachunkowych przy użyciu komputera, polityka rachunkowości powinna zawierać wykaz zbiorów danych tworzących księgi rachunkowe na informatycznych nośnikach danych z określeniem ich struktury, wzajemnych powiązań oraz ich funkcji w organizacji całości ksiąg rachunkowych </w:t>
      </w:r>
      <w:r w:rsidR="003A0B84">
        <w:rPr>
          <w:lang w:eastAsia="pl-PL"/>
        </w:rPr>
        <w:br/>
      </w:r>
      <w:r w:rsidRPr="00EE226A">
        <w:rPr>
          <w:lang w:eastAsia="pl-PL"/>
        </w:rPr>
        <w:t xml:space="preserve">i w procesach przetwarzania danych. Pedagogiczna Biblioteka Wojewódzka </w:t>
      </w:r>
      <w:r w:rsidR="003A0B84">
        <w:rPr>
          <w:lang w:eastAsia="pl-PL"/>
        </w:rPr>
        <w:br/>
      </w:r>
      <w:r w:rsidRPr="00EE226A">
        <w:rPr>
          <w:lang w:eastAsia="pl-PL"/>
        </w:rPr>
        <w:t>w Kielcach posiada odpowiedni załącznik do polityki rachunkowości</w:t>
      </w:r>
      <w:r w:rsidRPr="00EE226A">
        <w:rPr>
          <w:u w:val="single"/>
          <w:lang w:eastAsia="pl-PL"/>
        </w:rPr>
        <w:t>,</w:t>
      </w:r>
      <w:r w:rsidRPr="00EE226A">
        <w:rPr>
          <w:lang w:eastAsia="pl-PL"/>
        </w:rPr>
        <w:t xml:space="preserve"> który nie jest nigdy aktualizowany.</w:t>
      </w:r>
    </w:p>
    <w:p w14:paraId="1E6262FA" w14:textId="77777777" w:rsidR="00EE226A" w:rsidRPr="00EE226A" w:rsidRDefault="00EE226A" w:rsidP="00131F8F">
      <w:pPr>
        <w:pStyle w:val="KANumeARAB"/>
        <w:numPr>
          <w:ilvl w:val="1"/>
          <w:numId w:val="24"/>
        </w:numPr>
        <w:ind w:left="714" w:hanging="357"/>
        <w:rPr>
          <w:lang w:eastAsia="pl-PL"/>
        </w:rPr>
      </w:pPr>
      <w:r w:rsidRPr="00EE226A">
        <w:rPr>
          <w:lang w:eastAsia="pl-PL"/>
        </w:rPr>
        <w:t>Ponadto stwierdzono brak opisu szczegółowych zasad tworzenia kopii zapasowych oraz procedur ich wiarygodnego testowania i odtwarzania danych.</w:t>
      </w:r>
    </w:p>
    <w:p w14:paraId="3F7BD0E2" w14:textId="77777777" w:rsidR="00EE226A" w:rsidRPr="00EE226A" w:rsidRDefault="00EE226A" w:rsidP="00281601">
      <w:pPr>
        <w:pStyle w:val="KANag1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Wniosek pokontrolny Nr 10</w:t>
      </w:r>
    </w:p>
    <w:p w14:paraId="0C09538F" w14:textId="77777777" w:rsidR="00EE226A" w:rsidRPr="00EE226A" w:rsidRDefault="00EE226A" w:rsidP="00131F8F">
      <w:pPr>
        <w:pStyle w:val="KANumeARAB"/>
        <w:numPr>
          <w:ilvl w:val="1"/>
          <w:numId w:val="25"/>
        </w:numPr>
        <w:ind w:left="714" w:hanging="357"/>
        <w:jc w:val="both"/>
        <w:rPr>
          <w:lang w:eastAsia="pl-PL"/>
        </w:rPr>
      </w:pPr>
      <w:r w:rsidRPr="00EE226A">
        <w:rPr>
          <w:lang w:eastAsia="pl-PL"/>
        </w:rPr>
        <w:t>Należy utworzyć i prowadzić na bieżąco rejestr wersji używanego oprogramowania finansowo – księgowego.</w:t>
      </w:r>
    </w:p>
    <w:p w14:paraId="5CD7462D" w14:textId="77777777" w:rsidR="00EE226A" w:rsidRPr="00EE226A" w:rsidRDefault="00EE226A" w:rsidP="00131F8F">
      <w:pPr>
        <w:pStyle w:val="KANumeARAB"/>
        <w:numPr>
          <w:ilvl w:val="1"/>
          <w:numId w:val="25"/>
        </w:numPr>
        <w:ind w:left="714" w:hanging="357"/>
        <w:jc w:val="both"/>
        <w:rPr>
          <w:lang w:eastAsia="pl-PL"/>
        </w:rPr>
      </w:pPr>
      <w:r w:rsidRPr="00EE226A">
        <w:rPr>
          <w:lang w:eastAsia="pl-PL"/>
        </w:rPr>
        <w:t xml:space="preserve">Należy, po każdej zmianie, aktualizować wykaz zbiorów danych tworzących księgi rachunkowe na informatycznych nośnikach danych z określeniem ich struktury, wzajemnych powiązań oraz ich funkcji w organizacji całości ksiąg rachunkowych </w:t>
      </w:r>
      <w:r w:rsidR="00542F4B">
        <w:rPr>
          <w:lang w:eastAsia="pl-PL"/>
        </w:rPr>
        <w:br/>
      </w:r>
      <w:r w:rsidRPr="00EE226A">
        <w:rPr>
          <w:lang w:eastAsia="pl-PL"/>
        </w:rPr>
        <w:t>i w procesach przetwarzania danych.</w:t>
      </w:r>
    </w:p>
    <w:p w14:paraId="49AC1326" w14:textId="77777777" w:rsidR="00EE226A" w:rsidRPr="00EE226A" w:rsidRDefault="00EE226A" w:rsidP="00131F8F">
      <w:pPr>
        <w:pStyle w:val="KANumeARAB"/>
        <w:numPr>
          <w:ilvl w:val="1"/>
          <w:numId w:val="25"/>
        </w:numPr>
        <w:ind w:left="714" w:hanging="357"/>
        <w:jc w:val="both"/>
        <w:rPr>
          <w:lang w:eastAsia="pl-PL"/>
        </w:rPr>
      </w:pPr>
      <w:r w:rsidRPr="00EE226A">
        <w:t>Opracować szczegółowe zasady tworzenia kopii zapasowych oraz procedury wiarygodnego testowania i odtwarzania danych.</w:t>
      </w:r>
    </w:p>
    <w:p w14:paraId="69677ABC" w14:textId="77777777" w:rsidR="00EE226A" w:rsidRPr="00EE226A" w:rsidRDefault="00EE226A" w:rsidP="00EE226A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b/>
          <w:sz w:val="24"/>
        </w:rPr>
      </w:pPr>
    </w:p>
    <w:p w14:paraId="41DC67A5" w14:textId="77777777" w:rsidR="00EE226A" w:rsidRPr="00281601" w:rsidRDefault="00EE226A" w:rsidP="00131F8F">
      <w:pPr>
        <w:pStyle w:val="KANumeARAB"/>
        <w:ind w:left="357" w:hanging="357"/>
        <w:rPr>
          <w:b/>
        </w:rPr>
      </w:pPr>
      <w:r w:rsidRPr="00281601">
        <w:rPr>
          <w:b/>
        </w:rPr>
        <w:t xml:space="preserve"> Ewidencja środków trwałych w zakresie sprzętu informatycznego.</w:t>
      </w:r>
    </w:p>
    <w:p w14:paraId="3F810D9E" w14:textId="77777777" w:rsidR="00EE226A" w:rsidRDefault="00EE226A" w:rsidP="00281601">
      <w:pPr>
        <w:pStyle w:val="KANormalny"/>
        <w:rPr>
          <w:lang w:eastAsia="pl-PL"/>
        </w:rPr>
      </w:pPr>
      <w:r w:rsidRPr="00EE226A">
        <w:rPr>
          <w:lang w:eastAsia="pl-PL"/>
        </w:rPr>
        <w:t xml:space="preserve">W trakcie kontroli stwierdzono fakt nadania takich samych numerów inwentarzowych dla różnych komputerów zakupionych w jednym postępowaniu wyszczególnionych na jednej fakturze. Zgodnie z Uchwałą Nr 4/2017 Komitetu Standardów Rachunkowości z dnia </w:t>
      </w:r>
      <w:r w:rsidRPr="00EE226A">
        <w:rPr>
          <w:lang w:eastAsia="pl-PL"/>
        </w:rPr>
        <w:br/>
        <w:t>3 kwietnia 2017 r. w sprawie przyjęcia Krajowego Standardu Rachunkowości Nr 11 „Środki trwałe” (Dz. Urz. MRiF z 2017 r. poz. 105), pkt V poz. 5.3 każdemu obiektowi inwentarzowemu nadaje się unikalny i niepowtarzalny, kolejny numer inwentarzowy.</w:t>
      </w:r>
    </w:p>
    <w:p w14:paraId="54F436B8" w14:textId="77777777" w:rsidR="00281601" w:rsidRDefault="00281601">
      <w:pPr>
        <w:rPr>
          <w:rFonts w:ascii="Times New Roman" w:hAnsi="Times New Roman"/>
          <w:sz w:val="24"/>
          <w:lang w:eastAsia="pl-PL"/>
        </w:rPr>
      </w:pPr>
      <w:r>
        <w:rPr>
          <w:lang w:eastAsia="pl-PL"/>
        </w:rPr>
        <w:br w:type="page"/>
      </w:r>
    </w:p>
    <w:p w14:paraId="37E42642" w14:textId="77777777" w:rsidR="00EE226A" w:rsidRPr="00EE226A" w:rsidRDefault="00EE226A" w:rsidP="00281601">
      <w:pPr>
        <w:pStyle w:val="KANag1"/>
        <w:rPr>
          <w:rFonts w:eastAsia="Calibri"/>
        </w:rPr>
      </w:pPr>
      <w:r w:rsidRPr="00EE226A">
        <w:rPr>
          <w:rFonts w:eastAsia="Calibri"/>
        </w:rPr>
        <w:lastRenderedPageBreak/>
        <w:t xml:space="preserve">Wniosek </w:t>
      </w:r>
      <w:r w:rsidRPr="00281601">
        <w:t>pokontrolny</w:t>
      </w:r>
      <w:r w:rsidRPr="00EE226A">
        <w:rPr>
          <w:rFonts w:eastAsia="Calibri"/>
        </w:rPr>
        <w:t xml:space="preserve"> nr 11</w:t>
      </w:r>
    </w:p>
    <w:p w14:paraId="469C7DA7" w14:textId="77777777" w:rsidR="00EE226A" w:rsidRPr="00EE226A" w:rsidRDefault="00EE226A" w:rsidP="00281601">
      <w:pPr>
        <w:pStyle w:val="KANormalny"/>
      </w:pPr>
      <w:r w:rsidRPr="00EE226A">
        <w:t>Dostosować sposób nadawania numerów inwentarzowych do obowiązujących standardów.</w:t>
      </w:r>
    </w:p>
    <w:p w14:paraId="7C8D5B09" w14:textId="77777777" w:rsidR="00EE226A" w:rsidRPr="00EE226A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EA73A3" w14:textId="77777777" w:rsidR="00EE226A" w:rsidRPr="00EE226A" w:rsidRDefault="00EE226A" w:rsidP="00281601">
      <w:pPr>
        <w:pStyle w:val="KANormalny"/>
        <w:rPr>
          <w:lang w:eastAsia="pl-PL"/>
        </w:rPr>
      </w:pPr>
      <w:r w:rsidRPr="00EE226A">
        <w:rPr>
          <w:lang w:eastAsia="pl-PL"/>
        </w:rPr>
        <w:t>Zobowiązuję Panią Dyrektor do udzielenia informacji, w terminie 30 dni od dnia otrzymania niniejszego wystąpienia pokontrolnego, o podjętych działaniach w celu wykonania zaleceń pokontrolnych, o ich wykonaniu lub przyczynach ich niewykonania.</w:t>
      </w:r>
    </w:p>
    <w:p w14:paraId="1E63085D" w14:textId="77777777" w:rsidR="00EE226A" w:rsidRPr="00EE226A" w:rsidRDefault="00EE226A" w:rsidP="00542F4B">
      <w:pPr>
        <w:pStyle w:val="KANag1"/>
        <w:spacing w:before="8040"/>
        <w:rPr>
          <w:rFonts w:eastAsia="Times New Roman"/>
          <w:lang w:eastAsia="pl-PL"/>
        </w:rPr>
      </w:pPr>
      <w:r w:rsidRPr="00EE226A">
        <w:rPr>
          <w:rFonts w:eastAsia="Times New Roman"/>
          <w:lang w:eastAsia="pl-PL"/>
        </w:rPr>
        <w:t>Do wiadomości:</w:t>
      </w:r>
    </w:p>
    <w:p w14:paraId="58448A96" w14:textId="77777777" w:rsidR="00EE226A" w:rsidRPr="00EE226A" w:rsidRDefault="00EE226A" w:rsidP="00281601">
      <w:pPr>
        <w:pStyle w:val="KANumeARAB"/>
        <w:numPr>
          <w:ilvl w:val="0"/>
          <w:numId w:val="26"/>
        </w:numPr>
        <w:rPr>
          <w:lang w:eastAsia="pl-PL"/>
        </w:rPr>
      </w:pPr>
      <w:r w:rsidRPr="00EE226A">
        <w:rPr>
          <w:lang w:eastAsia="pl-PL"/>
        </w:rPr>
        <w:t>Pan Tomasz Jamka – członek Zarządu Województwa Świętokrzyskiego.</w:t>
      </w:r>
    </w:p>
    <w:p w14:paraId="58857C2D" w14:textId="77777777" w:rsidR="00EE226A" w:rsidRPr="00EE226A" w:rsidRDefault="00EE226A" w:rsidP="00281601">
      <w:pPr>
        <w:pStyle w:val="KANumeARAB"/>
        <w:rPr>
          <w:lang w:eastAsia="pl-PL"/>
        </w:rPr>
      </w:pPr>
      <w:r w:rsidRPr="00EE226A">
        <w:rPr>
          <w:lang w:eastAsia="pl-PL"/>
        </w:rPr>
        <w:t>Dyrektor Departamentu Edukacji, Sportu i Turystyki UMWŚ w/m.</w:t>
      </w:r>
    </w:p>
    <w:p w14:paraId="13F9A277" w14:textId="77777777" w:rsidR="00EE226A" w:rsidRPr="00EE226A" w:rsidRDefault="00EE226A" w:rsidP="00281601">
      <w:pPr>
        <w:pStyle w:val="KANumeARAB"/>
        <w:rPr>
          <w:lang w:eastAsia="pl-PL"/>
        </w:rPr>
      </w:pPr>
      <w:r w:rsidRPr="00EE226A">
        <w:rPr>
          <w:lang w:eastAsia="pl-PL"/>
        </w:rPr>
        <w:t>Skarbnik Województwa Świętokrzyskiego.</w:t>
      </w:r>
    </w:p>
    <w:p w14:paraId="6ADA7A15" w14:textId="77777777" w:rsidR="00EE226A" w:rsidRPr="00EE226A" w:rsidRDefault="00EE226A" w:rsidP="00281601">
      <w:pPr>
        <w:pStyle w:val="KANumeARAB"/>
        <w:rPr>
          <w:lang w:eastAsia="pl-PL"/>
        </w:rPr>
      </w:pPr>
      <w:r w:rsidRPr="00EE226A">
        <w:rPr>
          <w:lang w:eastAsia="pl-PL"/>
        </w:rPr>
        <w:t xml:space="preserve"> a/a.</w:t>
      </w:r>
    </w:p>
    <w:sectPr w:rsidR="00EE226A" w:rsidRPr="00EE226A" w:rsidSect="003A0B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6DC8" w14:textId="77777777" w:rsidR="00B0528F" w:rsidRDefault="00B0528F" w:rsidP="000F61DF">
      <w:pPr>
        <w:spacing w:after="0" w:line="240" w:lineRule="auto"/>
      </w:pPr>
      <w:r>
        <w:separator/>
      </w:r>
    </w:p>
  </w:endnote>
  <w:endnote w:type="continuationSeparator" w:id="0">
    <w:p w14:paraId="65B76726" w14:textId="77777777" w:rsidR="00B0528F" w:rsidRDefault="00B0528F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EC1D2" w14:textId="77777777" w:rsidR="00E30DEF" w:rsidRPr="003A0B84" w:rsidRDefault="003A0B84" w:rsidP="003A0B84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- </w:t>
    </w:r>
    <w:r w:rsidRPr="003A0B84">
      <w:rPr>
        <w:rFonts w:ascii="Times New Roman" w:hAnsi="Times New Roman" w:cs="Times New Roman"/>
        <w:sz w:val="24"/>
        <w:szCs w:val="24"/>
      </w:rPr>
      <w:fldChar w:fldCharType="begin"/>
    </w:r>
    <w:r w:rsidRPr="003A0B84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3A0B8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11</w:t>
    </w:r>
    <w:r w:rsidRPr="003A0B84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-</w:t>
    </w:r>
  </w:p>
  <w:p w14:paraId="000E5C40" w14:textId="77777777"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A771E" w14:textId="77777777" w:rsidR="00C63BEB" w:rsidRDefault="00C63BEB" w:rsidP="00C63BEB">
    <w:pPr>
      <w:pStyle w:val="Stopka"/>
      <w:jc w:val="right"/>
    </w:pPr>
    <w:r>
      <w:rPr>
        <w:noProof/>
        <w:lang w:eastAsia="pl-PL"/>
      </w:rPr>
      <w:drawing>
        <wp:inline distT="0" distB="0" distL="0" distR="0" wp14:anchorId="06E79C10" wp14:editId="7E5AC822">
          <wp:extent cx="1183005" cy="445135"/>
          <wp:effectExtent l="0" t="0" r="0" b="0"/>
          <wp:docPr id="2" name="Obraz 2" descr="telefon: 413421549, fax:413445265&#10;kancelaria@sejmik.kielkce.pl&#10;al. IX Wieków Kielc 3, 25-516 Kielce" title="Stopka adres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A6313" w14:textId="77777777" w:rsidR="00B0528F" w:rsidRDefault="00B0528F" w:rsidP="000F61DF">
      <w:pPr>
        <w:spacing w:after="0" w:line="240" w:lineRule="auto"/>
      </w:pPr>
      <w:r>
        <w:separator/>
      </w:r>
    </w:p>
  </w:footnote>
  <w:footnote w:type="continuationSeparator" w:id="0">
    <w:p w14:paraId="65C51023" w14:textId="77777777" w:rsidR="00B0528F" w:rsidRDefault="00B0528F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9F71E" w14:textId="77777777"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3EE58" w14:textId="77777777"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7F47A8F4" wp14:editId="7B299FE2">
          <wp:extent cx="1862455" cy="538480"/>
          <wp:effectExtent l="0" t="0" r="4445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682"/>
    <w:multiLevelType w:val="multilevel"/>
    <w:tmpl w:val="60BED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7D1966"/>
    <w:multiLevelType w:val="hybridMultilevel"/>
    <w:tmpl w:val="406CC47C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4C4D58"/>
    <w:multiLevelType w:val="multilevel"/>
    <w:tmpl w:val="FBA6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7A46BA"/>
    <w:multiLevelType w:val="multilevel"/>
    <w:tmpl w:val="42400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B74E40"/>
    <w:multiLevelType w:val="multilevel"/>
    <w:tmpl w:val="71D67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E2037C6"/>
    <w:multiLevelType w:val="multilevel"/>
    <w:tmpl w:val="D9E0E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A25AB"/>
    <w:multiLevelType w:val="multilevel"/>
    <w:tmpl w:val="A84CF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A8049EC"/>
    <w:multiLevelType w:val="multilevel"/>
    <w:tmpl w:val="73B08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6252E9"/>
    <w:multiLevelType w:val="multilevel"/>
    <w:tmpl w:val="BE1CF10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2"/>
  </w:num>
  <w:num w:numId="15">
    <w:abstractNumId w:val="15"/>
    <w:lvlOverride w:ilvl="0">
      <w:startOverride w:val="3"/>
    </w:lvlOverride>
    <w:lvlOverride w:ilvl="1">
      <w:startOverride w:val="1"/>
    </w:lvlOverride>
  </w:num>
  <w:num w:numId="16">
    <w:abstractNumId w:val="14"/>
  </w:num>
  <w:num w:numId="17">
    <w:abstractNumId w:val="0"/>
  </w:num>
  <w:num w:numId="18">
    <w:abstractNumId w:val="15"/>
    <w:lvlOverride w:ilvl="0">
      <w:startOverride w:val="4"/>
    </w:lvlOverride>
    <w:lvlOverride w:ilvl="1">
      <w:startOverride w:val="1"/>
    </w:lvlOverride>
  </w:num>
  <w:num w:numId="19">
    <w:abstractNumId w:val="15"/>
    <w:lvlOverride w:ilvl="0">
      <w:startOverride w:val="4"/>
    </w:lvlOverride>
    <w:lvlOverride w:ilvl="1">
      <w:startOverride w:val="1"/>
    </w:lvlOverride>
  </w:num>
  <w:num w:numId="20">
    <w:abstractNumId w:val="15"/>
    <w:lvlOverride w:ilvl="0">
      <w:startOverride w:val="6"/>
    </w:lvlOverride>
    <w:lvlOverride w:ilvl="1">
      <w:startOverride w:val="1"/>
    </w:lvlOverride>
  </w:num>
  <w:num w:numId="21">
    <w:abstractNumId w:val="15"/>
    <w:lvlOverride w:ilvl="0">
      <w:startOverride w:val="6"/>
    </w:lvlOverride>
    <w:lvlOverride w:ilvl="1">
      <w:startOverride w:val="1"/>
    </w:lvlOverride>
  </w:num>
  <w:num w:numId="22">
    <w:abstractNumId w:val="15"/>
    <w:lvlOverride w:ilvl="0">
      <w:startOverride w:val="8"/>
    </w:lvlOverride>
    <w:lvlOverride w:ilvl="1">
      <w:startOverride w:val="1"/>
    </w:lvlOverride>
  </w:num>
  <w:num w:numId="23">
    <w:abstractNumId w:val="15"/>
    <w:lvlOverride w:ilvl="0">
      <w:startOverride w:val="8"/>
    </w:lvlOverride>
    <w:lvlOverride w:ilvl="1">
      <w:startOverride w:val="1"/>
    </w:lvlOverride>
  </w:num>
  <w:num w:numId="24">
    <w:abstractNumId w:val="15"/>
    <w:lvlOverride w:ilvl="0">
      <w:startOverride w:val="10"/>
    </w:lvlOverride>
    <w:lvlOverride w:ilvl="1">
      <w:startOverride w:val="1"/>
    </w:lvlOverride>
  </w:num>
  <w:num w:numId="25">
    <w:abstractNumId w:val="15"/>
    <w:lvlOverride w:ilvl="0">
      <w:startOverride w:val="10"/>
    </w:lvlOverride>
    <w:lvlOverride w:ilvl="1">
      <w:startOverride w:val="1"/>
    </w:lvlOverride>
  </w:num>
  <w:num w:numId="2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EC2"/>
    <w:rsid w:val="000F61DF"/>
    <w:rsid w:val="00131F8F"/>
    <w:rsid w:val="001E2785"/>
    <w:rsid w:val="00252EC2"/>
    <w:rsid w:val="00281601"/>
    <w:rsid w:val="0035121E"/>
    <w:rsid w:val="003A0B84"/>
    <w:rsid w:val="00404A4B"/>
    <w:rsid w:val="00411E81"/>
    <w:rsid w:val="004219CC"/>
    <w:rsid w:val="00467793"/>
    <w:rsid w:val="00542F4B"/>
    <w:rsid w:val="00731CD3"/>
    <w:rsid w:val="00761EFC"/>
    <w:rsid w:val="00763DBA"/>
    <w:rsid w:val="007E31B1"/>
    <w:rsid w:val="0082163C"/>
    <w:rsid w:val="00822343"/>
    <w:rsid w:val="008D320A"/>
    <w:rsid w:val="008D64B2"/>
    <w:rsid w:val="009215A5"/>
    <w:rsid w:val="00935524"/>
    <w:rsid w:val="009A3689"/>
    <w:rsid w:val="00A423A8"/>
    <w:rsid w:val="00A643C1"/>
    <w:rsid w:val="00AB0DFB"/>
    <w:rsid w:val="00AC51D4"/>
    <w:rsid w:val="00B0528F"/>
    <w:rsid w:val="00B34432"/>
    <w:rsid w:val="00B856D2"/>
    <w:rsid w:val="00B9476B"/>
    <w:rsid w:val="00BB525D"/>
    <w:rsid w:val="00C63BEB"/>
    <w:rsid w:val="00CE3655"/>
    <w:rsid w:val="00D50909"/>
    <w:rsid w:val="00D6463F"/>
    <w:rsid w:val="00E30DEF"/>
    <w:rsid w:val="00EE226A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ACDD3"/>
  <w15:docId w15:val="{F6FE3871-4426-46BA-B920-05ECF42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77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677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67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4677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0DC7-BCC6-4819-9E68-387ACB0F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2781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Tusień, Artur</dc:creator>
  <cp:lastModifiedBy>Witkowska-Simlat, Jadwiga</cp:lastModifiedBy>
  <cp:revision>8</cp:revision>
  <cp:lastPrinted>2020-05-15T10:28:00Z</cp:lastPrinted>
  <dcterms:created xsi:type="dcterms:W3CDTF">2020-05-15T10:29:00Z</dcterms:created>
  <dcterms:modified xsi:type="dcterms:W3CDTF">2020-05-20T08:34:00Z</dcterms:modified>
</cp:coreProperties>
</file>