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484B76">
        <w:rPr>
          <w:b/>
        </w:rPr>
        <w:t>pn. „Świętokrzyskie dla młodych” na wsparcie realizacji zadań publicznych Województwa Świętokrzyskiego o charakterze edukacyjnym i wychowawczym, wzmacniających postawy społeczne i obywatelskie młodzieży z regionu świętokrzyskiego w 2019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bookmarkStart w:id="0" w:name="_GoBack"/>
      <w:bookmarkEnd w:id="0"/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CD1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D8" w:rsidRDefault="00EE60D8" w:rsidP="007F54E7">
      <w:r>
        <w:separator/>
      </w:r>
    </w:p>
  </w:endnote>
  <w:endnote w:type="continuationSeparator" w:id="0">
    <w:p w:rsidR="00EE60D8" w:rsidRDefault="00EE60D8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D8" w:rsidRDefault="00EE60D8" w:rsidP="007F54E7">
      <w:r>
        <w:separator/>
      </w:r>
    </w:p>
  </w:footnote>
  <w:footnote w:type="continuationSeparator" w:id="0">
    <w:p w:rsidR="00EE60D8" w:rsidRDefault="00EE60D8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C6D01"/>
    <w:rsid w:val="00281538"/>
    <w:rsid w:val="00314900"/>
    <w:rsid w:val="00484B76"/>
    <w:rsid w:val="00630808"/>
    <w:rsid w:val="00670554"/>
    <w:rsid w:val="00751D46"/>
    <w:rsid w:val="007F54E7"/>
    <w:rsid w:val="00985593"/>
    <w:rsid w:val="00A60330"/>
    <w:rsid w:val="00B50221"/>
    <w:rsid w:val="00C6064E"/>
    <w:rsid w:val="00CD189A"/>
    <w:rsid w:val="00E404E6"/>
    <w:rsid w:val="00E60353"/>
    <w:rsid w:val="00EE60D8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4FD69-9356-4964-B172-0A6C2634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Cieśla, Monika</cp:lastModifiedBy>
  <cp:revision>3</cp:revision>
  <dcterms:created xsi:type="dcterms:W3CDTF">2019-01-09T10:22:00Z</dcterms:created>
  <dcterms:modified xsi:type="dcterms:W3CDTF">2019-01-09T10:27:00Z</dcterms:modified>
</cp:coreProperties>
</file>