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16030">
        <w:rPr>
          <w:rFonts w:cstheme="minorHAnsi"/>
          <w:b/>
          <w:bCs/>
        </w:rPr>
        <w:t>Warunki Gwarancji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16030">
        <w:rPr>
          <w:rFonts w:cstheme="minorHAnsi"/>
          <w:b/>
          <w:bCs/>
        </w:rPr>
        <w:t>Wykonawca: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>Firma………………………………………………………………………………………………………………,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>Adres ...............................................................................................................,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>Telefon....................................., mail ..................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 xml:space="preserve">udziela na okres </w:t>
      </w:r>
      <w:r w:rsidRPr="00B16030">
        <w:rPr>
          <w:rFonts w:cstheme="minorHAnsi"/>
          <w:b/>
          <w:bCs/>
        </w:rPr>
        <w:t>…………………..</w:t>
      </w:r>
      <w:r w:rsidR="00914094" w:rsidRPr="00914094">
        <w:rPr>
          <w:rFonts w:cstheme="minorHAnsi"/>
          <w:bCs/>
        </w:rPr>
        <w:t>miesięcy</w:t>
      </w:r>
      <w:r w:rsidRPr="00B16030">
        <w:rPr>
          <w:rFonts w:cstheme="minorHAnsi"/>
          <w:b/>
          <w:bCs/>
        </w:rPr>
        <w:t xml:space="preserve"> </w:t>
      </w:r>
      <w:r w:rsidRPr="00B16030">
        <w:rPr>
          <w:rFonts w:cstheme="minorHAnsi"/>
        </w:rPr>
        <w:t>gwarancji, którego początek liczony jest od dnia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 xml:space="preserve">........................... </w:t>
      </w:r>
      <w:r w:rsidRPr="00B16030">
        <w:rPr>
          <w:rFonts w:cstheme="minorHAnsi"/>
          <w:i/>
          <w:iCs/>
        </w:rPr>
        <w:t>(końcowy odbió</w:t>
      </w:r>
      <w:r w:rsidRPr="00B16030">
        <w:rPr>
          <w:rFonts w:cstheme="minorHAnsi"/>
        </w:rPr>
        <w:t>r),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 xml:space="preserve">na wykonaną dostawę pn.: </w:t>
      </w:r>
      <w:r w:rsidRPr="00B1603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..................</w:t>
      </w:r>
      <w:r w:rsidRPr="00B16030">
        <w:rPr>
          <w:rFonts w:cstheme="minorHAnsi"/>
          <w:b/>
          <w:bCs/>
        </w:rPr>
        <w:t xml:space="preserve">”. </w:t>
      </w:r>
      <w:r>
        <w:rPr>
          <w:rFonts w:cstheme="minorHAnsi"/>
          <w:bCs/>
        </w:rPr>
        <w:t xml:space="preserve">Znak </w:t>
      </w:r>
      <w:r w:rsidRPr="00B16030">
        <w:rPr>
          <w:rFonts w:cstheme="minorHAnsi"/>
        </w:rPr>
        <w:t xml:space="preserve">postępowania: </w:t>
      </w:r>
      <w:r>
        <w:rPr>
          <w:rFonts w:cstheme="minorHAnsi"/>
        </w:rPr>
        <w:t>.....................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 xml:space="preserve">na obiekcie: </w:t>
      </w:r>
      <w:r>
        <w:rPr>
          <w:rFonts w:cstheme="minorHAnsi"/>
        </w:rPr>
        <w:t xml:space="preserve">...................... 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 xml:space="preserve">zgodnie z umową zawartą z </w:t>
      </w:r>
      <w:r w:rsidRPr="00B16030">
        <w:rPr>
          <w:rFonts w:cstheme="minorHAnsi"/>
          <w:b/>
          <w:bCs/>
        </w:rPr>
        <w:t xml:space="preserve">Zamawiającym </w:t>
      </w:r>
      <w:r w:rsidRPr="00B16030">
        <w:rPr>
          <w:rFonts w:cstheme="minorHAnsi"/>
        </w:rPr>
        <w:t xml:space="preserve">– </w:t>
      </w:r>
      <w:r>
        <w:rPr>
          <w:rFonts w:cstheme="minorHAnsi"/>
        </w:rPr>
        <w:t xml:space="preserve">MWK </w:t>
      </w:r>
      <w:r w:rsidRPr="00B16030">
        <w:rPr>
          <w:rFonts w:cstheme="minorHAnsi"/>
        </w:rPr>
        <w:t>,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>nr …………………..….. , z dnia ………………………….,</w:t>
      </w:r>
    </w:p>
    <w:p w:rsid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16030">
        <w:rPr>
          <w:rFonts w:cstheme="minorHAnsi"/>
        </w:rPr>
        <w:t xml:space="preserve">zwaną dalej </w:t>
      </w:r>
      <w:r w:rsidRPr="00B16030">
        <w:rPr>
          <w:rFonts w:cstheme="minorHAnsi"/>
          <w:b/>
          <w:bCs/>
        </w:rPr>
        <w:t xml:space="preserve">Umową </w:t>
      </w:r>
      <w:r w:rsidRPr="00B16030">
        <w:rPr>
          <w:rFonts w:cstheme="minorHAnsi"/>
        </w:rPr>
        <w:t>na następujących warunkach: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16030" w:rsidRPr="00B16030" w:rsidRDefault="00B16030" w:rsidP="00B160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B16030">
        <w:rPr>
          <w:rFonts w:cstheme="minorHAnsi"/>
          <w:b/>
          <w:bCs/>
        </w:rPr>
        <w:t>Warunki ogólne.</w:t>
      </w:r>
    </w:p>
    <w:p w:rsidR="00B16030" w:rsidRDefault="00B16030" w:rsidP="00B160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t xml:space="preserve">Gwarancja obejmuje swoim zakresem rzeczowym wszelkie prace oraz zainstalowane urządzenia będące przedmiotem umowy. Okres gwarancji wynosi ……….. </w:t>
      </w:r>
      <w:r w:rsidR="00914094">
        <w:rPr>
          <w:rFonts w:cstheme="minorHAnsi"/>
        </w:rPr>
        <w:t>miesięcy</w:t>
      </w:r>
      <w:r w:rsidRPr="00B16030">
        <w:rPr>
          <w:rFonts w:cstheme="minorHAnsi"/>
        </w:rPr>
        <w:t xml:space="preserve"> na przedmiot zamówienia.</w:t>
      </w:r>
    </w:p>
    <w:p w:rsidR="00B16030" w:rsidRDefault="00B16030" w:rsidP="00B160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t>W przypadku, gdy z budynku lub obiektu w którym były przeprowadzone prace objęte zakresem niniejszej gwarancji (określone w pkt. 1) będzie korzystał inny podmiot (zwany dalej Użytkownikiem) niż Zamawiający, Zamawiający upoważniony jest do zgłaszania ewentualnych wad oraz Zamawiający upoważnia ten podmiot do zgłaszania ewentualnych wad.</w:t>
      </w:r>
    </w:p>
    <w:p w:rsidR="00B16030" w:rsidRDefault="00B16030" w:rsidP="00B160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t>Wykonawca oświadcza, że wykonane prace, użyte materiały i zainstalowane urządzenia posiadają dopuszczenia do obrotu w myśl prawa i pozwalają na prawidłowe i bezpieczne użytkowanie przedmiotu Umowy oraz że są zgodne z obowiązującymi przepisami.</w:t>
      </w:r>
    </w:p>
    <w:p w:rsidR="00B16030" w:rsidRDefault="00B16030" w:rsidP="00B160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t>W ramach gwarancji Wykonawca zobowiązany jest do skutecznego usunięcia wszystkich zgłoszonych wad, o których został powiadomiony przez Zamawiającego oraz do poinformowaniu Zamawiającego o ewentualnych innych ujawnionych wadach. Fakt skutecznego usunięcia wady każdorazowo wymaga potwierdzenia na piśmie przez Wykonawcę i Zamawiającego.</w:t>
      </w:r>
    </w:p>
    <w:p w:rsidR="00B16030" w:rsidRDefault="00B16030" w:rsidP="00B160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t>Wykonawca będzie prowadził rejestr zgłoszeń i protokołów napraw udostępniany Zamawiającemu na każde wezwanie. Wykonawca udostępni rejestr poprzez dostęp do własnej aplikacji do śledzenia zgłoszeń lub w postaci plików. Elementem rejestru będzie na bieżąco aktualizowane zestawienie czasu zgłoszeń i realizacji odpowiadających im napraw.</w:t>
      </w:r>
    </w:p>
    <w:p w:rsidR="00383E21" w:rsidRDefault="00B16030" w:rsidP="00B160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t>Wykonawca przygotuje i przedstawi do akceptacji Zamawiającego do dnia odbioru końcowego formularze zgłoszenia i realizacji naprawy. Formularze będą zawierały co najmniej następujące informacje:</w:t>
      </w:r>
    </w:p>
    <w:p w:rsidR="00B16030" w:rsidRDefault="00B16030" w:rsidP="00167A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1434" w:hanging="357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t>Formularz zgłoszenia awarii – datę i czas zgłoszenia, imię i nazwisko zgłaszającego, oznaczenie stanowiska lub elementu systemu, którego dotyczy zgłoszenia, opis zgłoszenia, oznaczenie krytyczności awarii, unikalny numer zgłoszenia</w:t>
      </w:r>
      <w:r>
        <w:rPr>
          <w:rFonts w:cstheme="minorHAnsi"/>
        </w:rPr>
        <w:t>,</w:t>
      </w:r>
    </w:p>
    <w:p w:rsidR="00B16030" w:rsidRDefault="00B16030" w:rsidP="00167A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434" w:hanging="357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t>Formularz realizacji naprawy – datę i czas realizacji obejścia i naprawy, opis sposobu realizacji obejścia i naprawy, miejsce na akceptację realizacji obejścia i naprawy przez Zamawiającego, imię i nazwisko osoby odpowiedzialnej za obsługę zgłoszenia po stronie Wykonawcy, unikalny numer zgłoszenia, którego dotyczy naprawa</w:t>
      </w:r>
      <w:r>
        <w:rPr>
          <w:rFonts w:cstheme="minorHAnsi"/>
        </w:rPr>
        <w:t>.</w:t>
      </w:r>
    </w:p>
    <w:p w:rsidR="00B16030" w:rsidRDefault="00B16030" w:rsidP="00167A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7A6C">
        <w:rPr>
          <w:rFonts w:cstheme="minorHAnsi"/>
        </w:rPr>
        <w:t xml:space="preserve"> Jeśli na zainstalowane w ramach prac wykonanych zgodnie z Umową urządzenia, materiały</w:t>
      </w:r>
      <w:r w:rsidR="00167A6C" w:rsidRPr="00167A6C">
        <w:rPr>
          <w:rFonts w:cstheme="minorHAnsi"/>
        </w:rPr>
        <w:t xml:space="preserve"> </w:t>
      </w:r>
      <w:r w:rsidRPr="00167A6C">
        <w:rPr>
          <w:rFonts w:cstheme="minorHAnsi"/>
        </w:rPr>
        <w:t>w tym budowlane, instalacje, systemy producent/dostawca udziela gwarancji dłuższej niż</w:t>
      </w:r>
      <w:r w:rsidR="00167A6C" w:rsidRPr="00167A6C">
        <w:rPr>
          <w:rFonts w:cstheme="minorHAnsi"/>
        </w:rPr>
        <w:t xml:space="preserve"> </w:t>
      </w:r>
      <w:r w:rsidRPr="00167A6C">
        <w:rPr>
          <w:rFonts w:cstheme="minorHAnsi"/>
        </w:rPr>
        <w:t xml:space="preserve">okres </w:t>
      </w:r>
      <w:r w:rsidRPr="00167A6C">
        <w:rPr>
          <w:rFonts w:cstheme="minorHAnsi"/>
        </w:rPr>
        <w:lastRenderedPageBreak/>
        <w:t>udzielonej przez Wykonawcę gwarancji, to Wykonawca przekaże Zamawiającemu</w:t>
      </w:r>
      <w:r w:rsidR="00167A6C" w:rsidRPr="00167A6C">
        <w:rPr>
          <w:rFonts w:cstheme="minorHAnsi"/>
        </w:rPr>
        <w:t xml:space="preserve"> </w:t>
      </w:r>
      <w:r w:rsidRPr="00167A6C">
        <w:rPr>
          <w:rFonts w:cstheme="minorHAnsi"/>
        </w:rPr>
        <w:t>dokumenty dotyczące tych gwarancji w terminie do ostatniego dnia udzielonej przez siebie</w:t>
      </w:r>
      <w:r w:rsidR="00167A6C" w:rsidRPr="00167A6C">
        <w:rPr>
          <w:rFonts w:cstheme="minorHAnsi"/>
        </w:rPr>
        <w:t xml:space="preserve"> </w:t>
      </w:r>
      <w:r w:rsidRPr="00167A6C">
        <w:rPr>
          <w:rFonts w:cstheme="minorHAnsi"/>
        </w:rPr>
        <w:t>gwarancji.</w:t>
      </w:r>
    </w:p>
    <w:p w:rsidR="00B16030" w:rsidRDefault="00B16030" w:rsidP="00167A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7A6C">
        <w:rPr>
          <w:rFonts w:cstheme="minorHAnsi"/>
        </w:rPr>
        <w:t>Nie podlegają naprawie z tytułu gwarancji wady powstałe na skutek:</w:t>
      </w:r>
    </w:p>
    <w:p w:rsidR="00B16030" w:rsidRDefault="00B16030" w:rsidP="00B160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67A6C">
        <w:rPr>
          <w:rFonts w:cstheme="minorHAnsi"/>
        </w:rPr>
        <w:t>siły wyższej, pod pojęciem których strony utrzymują: stan wojny, klęski żywiołowej,</w:t>
      </w:r>
      <w:r w:rsidR="00167A6C" w:rsidRPr="00167A6C">
        <w:rPr>
          <w:rFonts w:cstheme="minorHAnsi"/>
        </w:rPr>
        <w:t xml:space="preserve"> </w:t>
      </w:r>
      <w:r w:rsidRPr="00167A6C">
        <w:rPr>
          <w:rFonts w:cstheme="minorHAnsi"/>
        </w:rPr>
        <w:t>strajk generalny,</w:t>
      </w:r>
    </w:p>
    <w:p w:rsidR="00B16030" w:rsidRDefault="00B16030" w:rsidP="00B160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67A6C">
        <w:rPr>
          <w:rFonts w:cstheme="minorHAnsi"/>
        </w:rPr>
        <w:t>normalnego zużycia przedmiotu Umowy lub jego części z uwzględnieniem zapisów Opisu</w:t>
      </w:r>
      <w:r w:rsidR="00167A6C" w:rsidRPr="00167A6C">
        <w:rPr>
          <w:rFonts w:cstheme="minorHAnsi"/>
        </w:rPr>
        <w:t xml:space="preserve"> </w:t>
      </w:r>
      <w:r w:rsidRPr="00167A6C">
        <w:rPr>
          <w:rFonts w:cstheme="minorHAnsi"/>
        </w:rPr>
        <w:t>Przedmiotu Zamówienia,</w:t>
      </w:r>
    </w:p>
    <w:p w:rsidR="00167A6C" w:rsidRDefault="00B16030" w:rsidP="00167A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434" w:hanging="357"/>
        <w:contextualSpacing w:val="0"/>
        <w:jc w:val="both"/>
        <w:rPr>
          <w:rFonts w:cstheme="minorHAnsi"/>
        </w:rPr>
      </w:pPr>
      <w:r w:rsidRPr="00167A6C">
        <w:rPr>
          <w:rFonts w:cstheme="minorHAnsi"/>
        </w:rPr>
        <w:t>szkód wynikłych z winy Użytkownika, a szczególnie konserwacji i użytkowania wystawy</w:t>
      </w:r>
      <w:r w:rsidR="00167A6C" w:rsidRPr="00167A6C">
        <w:rPr>
          <w:rFonts w:cstheme="minorHAnsi"/>
        </w:rPr>
        <w:t xml:space="preserve"> </w:t>
      </w:r>
      <w:r w:rsidRPr="00167A6C">
        <w:rPr>
          <w:rFonts w:cstheme="minorHAnsi"/>
        </w:rPr>
        <w:t>w sposób niezgodny z instrukcją lub zasadami eksploatacji i użytkowania.</w:t>
      </w:r>
    </w:p>
    <w:p w:rsidR="00B16030" w:rsidRDefault="00B16030" w:rsidP="006A4F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7A6C">
        <w:rPr>
          <w:rFonts w:cstheme="minorHAnsi"/>
        </w:rPr>
        <w:t>Wykonawca nie odpowiada za wady powstałe w wyniku zwłoki w zawiadomieniu go o</w:t>
      </w:r>
      <w:r w:rsidR="00167A6C" w:rsidRPr="00167A6C">
        <w:rPr>
          <w:rFonts w:cstheme="minorHAnsi"/>
        </w:rPr>
        <w:t xml:space="preserve"> </w:t>
      </w:r>
      <w:r w:rsidRPr="00167A6C">
        <w:rPr>
          <w:rFonts w:cstheme="minorHAnsi"/>
        </w:rPr>
        <w:t>wadzie, jeżeli wada ta spowodowała inne wady lub uszkodzenia, których można było</w:t>
      </w:r>
      <w:r w:rsidR="00167A6C" w:rsidRPr="00167A6C">
        <w:rPr>
          <w:rFonts w:cstheme="minorHAnsi"/>
        </w:rPr>
        <w:t xml:space="preserve"> </w:t>
      </w:r>
      <w:r w:rsidRPr="00167A6C">
        <w:rPr>
          <w:rFonts w:cstheme="minorHAnsi"/>
        </w:rPr>
        <w:t>uniknąć, gdyby w terminie zawiadomiono Wykonawcę o zaistniałej wadzie.</w:t>
      </w:r>
    </w:p>
    <w:p w:rsidR="00B16030" w:rsidRDefault="00B16030" w:rsidP="00B160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4FF2">
        <w:rPr>
          <w:rFonts w:cstheme="minorHAnsi"/>
        </w:rPr>
        <w:t>Wykonawca jest odpowiedzialny za wszelkie szkody i straty, które spowodował w czasie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prac nad usuwaniem wad.</w:t>
      </w:r>
    </w:p>
    <w:p w:rsidR="006A4FF2" w:rsidRDefault="006A4FF2" w:rsidP="006A4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16030" w:rsidRPr="006A4FF2" w:rsidRDefault="00B16030" w:rsidP="006A4F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  <w:b/>
          <w:bCs/>
        </w:rPr>
        <w:t>Przeglądy konserwacyjne i umowy serwisowe.</w:t>
      </w:r>
    </w:p>
    <w:p w:rsidR="00B16030" w:rsidRDefault="00B16030" w:rsidP="006A4F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>Jeśli w ramach prac wykonanych zgodnie z Umową zainstalowano urządzenia, instalacje,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systemy, materiały itp., co do których producent/dostawca żąda odpłatnego,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 xml:space="preserve">obligatoryjnego serwisowania i/lub konserwacji przez autoryzowane jednostki, </w:t>
      </w:r>
      <w:r w:rsidRPr="006A4FF2">
        <w:rPr>
          <w:rFonts w:cstheme="minorHAnsi"/>
          <w:b/>
          <w:bCs/>
        </w:rPr>
        <w:t>Wykonawca</w:t>
      </w:r>
      <w:r w:rsidR="006A4FF2" w:rsidRPr="006A4FF2">
        <w:rPr>
          <w:rFonts w:cstheme="minorHAnsi"/>
          <w:b/>
          <w:bCs/>
        </w:rPr>
        <w:t xml:space="preserve"> </w:t>
      </w:r>
      <w:r w:rsidRPr="006A4FF2">
        <w:rPr>
          <w:rFonts w:cstheme="minorHAnsi"/>
          <w:b/>
          <w:bCs/>
        </w:rPr>
        <w:t>zobowiązany jest do zawierania umów na ten serwis i/lub konserwację i do ponoszenia</w:t>
      </w:r>
      <w:r w:rsidR="006A4FF2" w:rsidRPr="006A4FF2">
        <w:rPr>
          <w:rFonts w:cstheme="minorHAnsi"/>
          <w:b/>
          <w:bCs/>
        </w:rPr>
        <w:t xml:space="preserve"> </w:t>
      </w:r>
      <w:r w:rsidRPr="006A4FF2">
        <w:rPr>
          <w:rFonts w:cstheme="minorHAnsi"/>
          <w:b/>
          <w:bCs/>
        </w:rPr>
        <w:t xml:space="preserve">kosztów </w:t>
      </w:r>
      <w:r w:rsidRPr="006A4FF2">
        <w:rPr>
          <w:rFonts w:cstheme="minorHAnsi"/>
        </w:rPr>
        <w:t>z tym związanych przez okres gwarancji. Wykonawca odpowiada za terminowe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serwisowanie ww. elementów i ponosi jego koszty w okresie gwarancji.</w:t>
      </w:r>
    </w:p>
    <w:p w:rsidR="00B16030" w:rsidRDefault="00B16030" w:rsidP="006A4F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 xml:space="preserve">Wykonawca zapewni </w:t>
      </w:r>
      <w:r w:rsidRPr="006A4FF2">
        <w:rPr>
          <w:rFonts w:cstheme="minorHAnsi"/>
          <w:b/>
          <w:bCs/>
        </w:rPr>
        <w:t xml:space="preserve">usługę utrzymania infrastruktury IT </w:t>
      </w:r>
      <w:r w:rsidRPr="006A4FF2">
        <w:rPr>
          <w:rFonts w:cstheme="minorHAnsi"/>
        </w:rPr>
        <w:t>Wystawy w skład której wchodzą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wszystkie urządzenia oraz oprogramowanie dostarczone i uruchomione w trakcie realizacji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Umowy. W skład usługi utrzymania wchodzą przeglądy konserwacyjne i naprawy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szczegółowo opisane w pkt III.1. Usługi będą świadczone przez cały okres obowiązywania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gwarancji zgodnie z Umową. Celem usług jest zapewnienie ciągłości działania całej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multimedialnej infrastruktury informatycznej Wystawy wdrożonej zgodnie z Umową. W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szczególności usługi obejmują sprzęt multimedialny i komputerowy, sieć komputerową,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elementy oświetlenia ekspozycyjnego, nagłośnienie, serwery, oprogramowanie (aplikacje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stanowiskowe i oprogramowanie sterujące) oraz urządzenia peryferyjne.</w:t>
      </w:r>
    </w:p>
    <w:p w:rsidR="00B16030" w:rsidRDefault="00B16030" w:rsidP="006A4F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>Prace serwisowe (w tym konserwacyjne) Wykonawcy w zakresie każdego z urządzeń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podlegających serwisowi muszą być realizowane przez Wykonawcę zgodnie z wytycznymi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producenta urządzenia oraz nie mogą w żadnym przypadku naruszać gwarancji udzielonej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przez producenta tych urządzeń. W przypadku naruszenia gwarancji producenta z winy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Wykonawcy, zapewni on ze swej strony, bez dodatkowego wynagrodzenia, w miejsce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producenta, gwarancje na analogicznych zasadach i okresie, jak gwarancje producenta.</w:t>
      </w:r>
    </w:p>
    <w:p w:rsidR="00B16030" w:rsidRDefault="00B16030" w:rsidP="006A4F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>Prace konserwacyjne oraz naprawy mogą odbywać się poza godzinami otwarcia Wystawy dla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zwiedzających w oknach serwisowych.</w:t>
      </w:r>
    </w:p>
    <w:p w:rsidR="00B16030" w:rsidRDefault="00B16030" w:rsidP="006A4F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>Usługi serwisowe świadczone będą w siedzibie Zamawiającego, a w szczególności: w miejscu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używania sprzętu tj. na terenie Wystawy i innych miejsc, w których zainstalowany będzie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sprzęt w trakcie realizacji Umowy.</w:t>
      </w:r>
    </w:p>
    <w:p w:rsidR="00B16030" w:rsidRDefault="00B16030" w:rsidP="00B1603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4FF2">
        <w:rPr>
          <w:rFonts w:cstheme="minorHAnsi"/>
        </w:rPr>
        <w:t>W przypadku braku możliwości dokonania naprawy w siedzibie Zamawiającego, Wykonawca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zabierze wadliwe urządzenie lub element do serwisu na podstawie protokołu podpisanego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przez Strony – od tego momentu pełną odpowiedzialność za urządzenie/część przedmiotu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Umowy przejmuje Wykonawca, aż do momentu ponownego zainstalowania naprawionego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urządzenia/części w miejscu pierwotnej instalacji, które również potwierdzone zostanie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lastRenderedPageBreak/>
        <w:t>stosownym protokołem. W przypadku zaistnienia takiej konieczności Wykonawca wdroży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rozwiązanie zastępcze (obejście).</w:t>
      </w:r>
    </w:p>
    <w:p w:rsidR="006A4FF2" w:rsidRPr="006A4FF2" w:rsidRDefault="006A4FF2" w:rsidP="006A4F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16030" w:rsidRPr="006A4FF2" w:rsidRDefault="00B16030" w:rsidP="006A4F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6A4FF2">
        <w:rPr>
          <w:rFonts w:cstheme="minorHAnsi"/>
          <w:b/>
          <w:bCs/>
        </w:rPr>
        <w:t>Przeglądy konserwacyjne infrastruktury IT– szczegóły.</w:t>
      </w:r>
    </w:p>
    <w:p w:rsidR="00B16030" w:rsidRPr="006A4FF2" w:rsidRDefault="00B16030" w:rsidP="006A4F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>Wykonawca będzie dokonywał przeglądów konserwacyjnych sprzętu dostarczonego w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ramach realizacji Umowy zgodnie z wymaganiami producentów poszczególnych urządzeń,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  <w:b/>
          <w:bCs/>
        </w:rPr>
        <w:t>nie rzadziej jednak niż raz na 6 miesięcy</w:t>
      </w:r>
      <w:r w:rsidRPr="006A4FF2">
        <w:rPr>
          <w:rFonts w:cstheme="minorHAnsi"/>
        </w:rPr>
        <w:t>. Konserwacja będzie obejmowała w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szczególności:</w:t>
      </w:r>
    </w:p>
    <w:p w:rsidR="00B16030" w:rsidRDefault="00B16030" w:rsidP="006A4F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cstheme="minorHAnsi"/>
        </w:rPr>
      </w:pPr>
      <w:r w:rsidRPr="006A4FF2">
        <w:rPr>
          <w:rFonts w:cstheme="minorHAnsi"/>
        </w:rPr>
        <w:t>usuwanie kurzu i zabrudzeń mogących wpływać na działanie urządzeń,</w:t>
      </w:r>
    </w:p>
    <w:p w:rsidR="00B16030" w:rsidRDefault="00B16030" w:rsidP="00B160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cstheme="minorHAnsi"/>
        </w:rPr>
      </w:pPr>
      <w:r w:rsidRPr="006A4FF2">
        <w:rPr>
          <w:rFonts w:cstheme="minorHAnsi"/>
        </w:rPr>
        <w:t>czyszczenie i kalibracja układów optycznych projektorów,</w:t>
      </w:r>
    </w:p>
    <w:p w:rsidR="00B16030" w:rsidRDefault="00B16030" w:rsidP="006A4F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>wymiana elementów eksploatacyjnych zużywających się zgodnie z ich żywotnością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podawaną przez producentów (w szczególności: wymiana żarówek, lamp i filtrów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projektorów); poza okresem objętym ofertą Wykonawcy materiały eksploatacyjne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dostarcza Zamawiający.</w:t>
      </w:r>
    </w:p>
    <w:p w:rsidR="00B16030" w:rsidRDefault="00B16030" w:rsidP="00B93FE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>Części eksploatacyjne wymieniane będą przez Wykonawcę w momencie stwierdzenia i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zgłoszenia ich zużycia przez Zamawiającego oraz w sytuacji stwierdzenia ich zużycia przez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Wykonawcę w toku realizowanych czynności serwisowych i konserwacyjnych. Zamawiający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zużycie części eksploatacyjnych zgłasza Wykonawcy zgodnie z procedurą serwisową, tak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samo jak każdą inną Usterkę. Poza okresem objętym ofertą Wykonawcy części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eksploatacyjne dostarczane będą przez Zamawiającego.</w:t>
      </w:r>
    </w:p>
    <w:p w:rsidR="00B16030" w:rsidRDefault="00B16030" w:rsidP="006A4F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>W ramach konserwacji Wykonawca instalował będzie aktualizacje systemów operacyjnych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zgodnie z zaleceniami ich producenta oraz zapisami Projektu Warsztatowego.</w:t>
      </w:r>
    </w:p>
    <w:p w:rsidR="00B16030" w:rsidRDefault="00B16030" w:rsidP="006A4F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</w:rPr>
        <w:t>Każdorazowo po wykonaniu przeglądu konserwacyjnego Wykonawca sporządzi szczegółowy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raport z wykonanych prac zawierający listę wszystkich czynności konserwacyjnych oraz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wymienionych elementów eksploatacyjnych. Zamawiający zastrzega sobie prawo weryfikacji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prac prowadzonych podczas konserwacji oraz raportu.</w:t>
      </w:r>
    </w:p>
    <w:p w:rsidR="00B16030" w:rsidRDefault="00B16030" w:rsidP="00B16030">
      <w:pPr>
        <w:pStyle w:val="Akapitzlist"/>
        <w:numPr>
          <w:ilvl w:val="0"/>
          <w:numId w:val="12"/>
        </w:num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4FF2">
        <w:rPr>
          <w:rFonts w:cstheme="minorHAnsi"/>
        </w:rPr>
        <w:t>Przeglądy konserwacyjne będą wykonywane poza godzinami otwarcia Wystawy dla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zwiedzających w oknach serwisowych każdorazowo uzgadnianych z Zamawiającym.</w:t>
      </w:r>
    </w:p>
    <w:p w:rsidR="006A4FF2" w:rsidRDefault="006A4FF2" w:rsidP="006A4FF2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16030" w:rsidRPr="006A4FF2" w:rsidRDefault="00B16030" w:rsidP="006A4FF2">
      <w:pPr>
        <w:pStyle w:val="Akapitzlist"/>
        <w:numPr>
          <w:ilvl w:val="0"/>
          <w:numId w:val="17"/>
        </w:numPr>
        <w:tabs>
          <w:tab w:val="left" w:pos="1095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A4FF2">
        <w:rPr>
          <w:rFonts w:cstheme="minorHAnsi"/>
          <w:b/>
          <w:bCs/>
        </w:rPr>
        <w:t>Przeglądy gwarancyjne.</w:t>
      </w:r>
    </w:p>
    <w:p w:rsidR="00B16030" w:rsidRDefault="00B16030" w:rsidP="00B93FE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6A4FF2">
        <w:rPr>
          <w:rFonts w:cstheme="minorHAnsi"/>
        </w:rPr>
        <w:t>Przeglądy gwarancyjne przeprowadzane będą w okresie udzielonej przez Wykonawcę</w:t>
      </w:r>
      <w:r w:rsidR="006A4FF2" w:rsidRPr="006A4FF2">
        <w:rPr>
          <w:rFonts w:cstheme="minorHAnsi"/>
        </w:rPr>
        <w:t xml:space="preserve"> </w:t>
      </w:r>
      <w:r w:rsidRPr="006A4FF2">
        <w:rPr>
          <w:rFonts w:cstheme="minorHAnsi"/>
        </w:rPr>
        <w:t>gwarancji, co roku od podpisania Protokołu odbioru końcowego</w:t>
      </w:r>
      <w:r w:rsidRPr="006A4FF2">
        <w:rPr>
          <w:rFonts w:cstheme="minorHAnsi"/>
          <w:b/>
          <w:bCs/>
        </w:rPr>
        <w:t>.</w:t>
      </w:r>
    </w:p>
    <w:p w:rsidR="00B16030" w:rsidRDefault="00B16030" w:rsidP="00B93FE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93FE4">
        <w:rPr>
          <w:rFonts w:cstheme="minorHAnsi"/>
        </w:rPr>
        <w:t>Przeglądy gwarancyjne przeprowadzane są komisyjnie przy udziale upoważnionych</w:t>
      </w:r>
      <w:r w:rsidR="00B93FE4" w:rsidRPr="00B93FE4">
        <w:rPr>
          <w:rFonts w:cstheme="minorHAnsi"/>
        </w:rPr>
        <w:t xml:space="preserve"> </w:t>
      </w:r>
      <w:r w:rsidRPr="00B93FE4">
        <w:rPr>
          <w:rFonts w:cstheme="minorHAnsi"/>
        </w:rPr>
        <w:t>przedstawicieli Zamawiającego i Wykonawcy. Nieobecność Wykonawcy nie wstrzymuje</w:t>
      </w:r>
      <w:r w:rsidR="00B93FE4" w:rsidRPr="00B93FE4">
        <w:rPr>
          <w:rFonts w:cstheme="minorHAnsi"/>
        </w:rPr>
        <w:t xml:space="preserve"> </w:t>
      </w:r>
      <w:r w:rsidRPr="00B93FE4">
        <w:rPr>
          <w:rFonts w:cstheme="minorHAnsi"/>
        </w:rPr>
        <w:t>przeprowadzenia przeglądu, a Zamawiający jest wówczas zobowiązany przesłać Wykonawcy</w:t>
      </w:r>
      <w:r w:rsidR="00B93FE4" w:rsidRPr="00B93FE4">
        <w:rPr>
          <w:rFonts w:cstheme="minorHAnsi"/>
        </w:rPr>
        <w:t xml:space="preserve"> </w:t>
      </w:r>
      <w:r w:rsidRPr="00B93FE4">
        <w:rPr>
          <w:rFonts w:cstheme="minorHAnsi"/>
        </w:rPr>
        <w:t>Protokół przeglądu gwarancyjnego wraz z wezwaniem do usunięcia stwierdzonych Wad</w:t>
      </w:r>
      <w:r w:rsidR="00B93FE4" w:rsidRPr="00B93FE4">
        <w:rPr>
          <w:rFonts w:cstheme="minorHAnsi"/>
        </w:rPr>
        <w:t xml:space="preserve"> </w:t>
      </w:r>
      <w:r w:rsidR="00B93FE4">
        <w:rPr>
          <w:rFonts w:cstheme="minorHAnsi"/>
        </w:rPr>
        <w:t xml:space="preserve"> </w:t>
      </w:r>
      <w:r w:rsidRPr="00B93FE4">
        <w:rPr>
          <w:rFonts w:cstheme="minorHAnsi"/>
        </w:rPr>
        <w:t>gwarancyjnych w określon</w:t>
      </w:r>
      <w:r w:rsidR="00B93FE4">
        <w:rPr>
          <w:rFonts w:cstheme="minorHAnsi"/>
        </w:rPr>
        <w:t>ym przez Zamawiającego terminie.</w:t>
      </w:r>
    </w:p>
    <w:p w:rsidR="00B16030" w:rsidRDefault="00B16030" w:rsidP="00B93FE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93FE4">
        <w:rPr>
          <w:rFonts w:cstheme="minorHAnsi"/>
        </w:rPr>
        <w:t>Przeglądy gwarancyjne polegają na ocenie stanu prac oraz na ocenie prac związanych z</w:t>
      </w:r>
      <w:r w:rsidR="00B93FE4" w:rsidRPr="00B93FE4">
        <w:rPr>
          <w:rFonts w:cstheme="minorHAnsi"/>
        </w:rPr>
        <w:t xml:space="preserve"> </w:t>
      </w:r>
      <w:r w:rsidRPr="00B93FE4">
        <w:rPr>
          <w:rFonts w:cstheme="minorHAnsi"/>
        </w:rPr>
        <w:t>usunięciem Wad ujawnionych w okresie rękojmi lub gwarancji jakości.</w:t>
      </w:r>
    </w:p>
    <w:p w:rsidR="00B93FE4" w:rsidRPr="00B93FE4" w:rsidRDefault="00B16030" w:rsidP="00B93FE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B93FE4">
        <w:rPr>
          <w:rFonts w:cstheme="minorHAnsi"/>
        </w:rPr>
        <w:t>Przeglądy gwarancyjne kończone będą Protokołem odbioru usunięcia Wad zawartych w</w:t>
      </w:r>
      <w:r w:rsidR="00B93FE4" w:rsidRPr="00B93FE4">
        <w:rPr>
          <w:rFonts w:cstheme="minorHAnsi"/>
        </w:rPr>
        <w:t xml:space="preserve"> </w:t>
      </w:r>
      <w:r w:rsidRPr="00B93FE4">
        <w:rPr>
          <w:rFonts w:cstheme="minorHAnsi"/>
        </w:rPr>
        <w:t>Protokole przeglądu gwarancyjnego, sporządzanym po usunięciu wszystkich ujawnionych</w:t>
      </w:r>
      <w:r w:rsidR="00B93FE4" w:rsidRPr="00B93FE4">
        <w:rPr>
          <w:rFonts w:cstheme="minorHAnsi"/>
        </w:rPr>
        <w:t xml:space="preserve"> </w:t>
      </w:r>
      <w:r w:rsidRPr="00B93FE4">
        <w:rPr>
          <w:rFonts w:cstheme="minorHAnsi"/>
        </w:rPr>
        <w:t>Wad</w:t>
      </w:r>
    </w:p>
    <w:p w:rsidR="00B93FE4" w:rsidRDefault="00B93FE4" w:rsidP="00B93FE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B16030" w:rsidRPr="00B93FE4" w:rsidRDefault="00B16030" w:rsidP="00045B9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B93FE4">
        <w:rPr>
          <w:rFonts w:cstheme="minorHAnsi"/>
          <w:b/>
          <w:bCs/>
        </w:rPr>
        <w:t>Usuwanie zgłoszonych wad infrastruktury IT – szczegóły.</w:t>
      </w:r>
    </w:p>
    <w:p w:rsidR="00045B94" w:rsidRDefault="00B16030" w:rsidP="00B1603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45B94">
        <w:rPr>
          <w:rFonts w:cstheme="minorHAnsi"/>
        </w:rPr>
        <w:t>Wykonawca zapewni następującą dostępność i poziom usług usunięcia wad, naprawy sprzętu</w:t>
      </w:r>
      <w:r w:rsidR="00045B94" w:rsidRPr="00045B94">
        <w:rPr>
          <w:rFonts w:cstheme="minorHAnsi"/>
        </w:rPr>
        <w:t xml:space="preserve"> </w:t>
      </w:r>
      <w:r w:rsidRPr="00045B94">
        <w:rPr>
          <w:rFonts w:cstheme="minorHAnsi"/>
        </w:rPr>
        <w:t>i oprogramowania:</w:t>
      </w:r>
    </w:p>
    <w:p w:rsidR="00045B94" w:rsidRDefault="00B16030" w:rsidP="00045B94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045B94">
        <w:rPr>
          <w:rFonts w:cstheme="minorHAnsi"/>
          <w:b/>
          <w:bCs/>
        </w:rPr>
        <w:t>Rodzaj awarii Czas reakcji Czas realizacji obejścia Czas naprawy</w:t>
      </w:r>
    </w:p>
    <w:p w:rsidR="00052F0A" w:rsidRDefault="00B16030" w:rsidP="00052F0A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t>Awaria krytyczna 4h do rozpoczęcia następnego dnia</w:t>
      </w:r>
      <w:r w:rsidR="00045B94">
        <w:rPr>
          <w:rFonts w:cstheme="minorHAnsi"/>
        </w:rPr>
        <w:t xml:space="preserve"> </w:t>
      </w:r>
      <w:r w:rsidRPr="00B16030">
        <w:rPr>
          <w:rFonts w:cstheme="minorHAnsi"/>
        </w:rPr>
        <w:t>wystawienniczego od dnia zgłoszenia awarii</w:t>
      </w:r>
      <w:r w:rsidR="00052F0A">
        <w:rPr>
          <w:rFonts w:cstheme="minorHAnsi"/>
        </w:rPr>
        <w:t xml:space="preserve"> </w:t>
      </w:r>
      <w:r w:rsidRPr="00B16030">
        <w:rPr>
          <w:rFonts w:cstheme="minorHAnsi"/>
        </w:rPr>
        <w:t>7 dni</w:t>
      </w:r>
    </w:p>
    <w:p w:rsidR="00052F0A" w:rsidRDefault="00B16030" w:rsidP="00052F0A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B16030">
        <w:rPr>
          <w:rFonts w:cstheme="minorHAnsi"/>
        </w:rPr>
        <w:lastRenderedPageBreak/>
        <w:t>Awaria standardowa 4h do rozpoczęcia 3 dnia wystawienniczego od</w:t>
      </w:r>
      <w:r w:rsidR="00052F0A">
        <w:rPr>
          <w:rFonts w:cstheme="minorHAnsi"/>
        </w:rPr>
        <w:t xml:space="preserve"> </w:t>
      </w:r>
      <w:r w:rsidRPr="00B16030">
        <w:rPr>
          <w:rFonts w:cstheme="minorHAnsi"/>
        </w:rPr>
        <w:t>dnia zgłoszenia awarii</w:t>
      </w:r>
      <w:r w:rsidR="00052F0A">
        <w:rPr>
          <w:rFonts w:cstheme="minorHAnsi"/>
        </w:rPr>
        <w:t xml:space="preserve">   </w:t>
      </w:r>
      <w:r w:rsidRPr="00B16030">
        <w:rPr>
          <w:rFonts w:cstheme="minorHAnsi"/>
        </w:rPr>
        <w:t>14 dni</w:t>
      </w:r>
    </w:p>
    <w:p w:rsidR="00B16030" w:rsidRPr="00052F0A" w:rsidRDefault="00B16030" w:rsidP="00052F0A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B16030">
        <w:rPr>
          <w:rFonts w:cstheme="minorHAnsi"/>
          <w:b/>
          <w:bCs/>
        </w:rPr>
        <w:t>Dostępność serwisu: 7 dni w tygodniu, wszystkie dni w roku.</w:t>
      </w:r>
    </w:p>
    <w:p w:rsidR="00B16030" w:rsidRDefault="00B16030" w:rsidP="00052F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52F0A">
        <w:rPr>
          <w:rFonts w:cstheme="minorHAnsi"/>
        </w:rPr>
        <w:t>Czas reakcji: czas liczony od momentu przesłania zgłoszenia awarii do momentu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potwierdzenia podjęcia zgłoszenia przez Wykonawcę.</w:t>
      </w:r>
    </w:p>
    <w:p w:rsidR="00B16030" w:rsidRDefault="00B16030" w:rsidP="00052F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52F0A">
        <w:rPr>
          <w:rFonts w:cstheme="minorHAnsi"/>
        </w:rPr>
        <w:t xml:space="preserve"> Czas realizacji rozwiązania zastępczego (obejścia): czas liczony od momentu przesłania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zgłoszenia wady/awarii do czasu potwierdzenia przez Zamawiającego wdrożenia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skutecznego rozwiązania zastępczego (obejścia). Rozwiązanie zastępcze może być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zrealizowane z wykorzystaniem dowolnego sprzętu, oprogramowania lub procedury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realizowanej przez Wykonawcę pod warunkiem przywrócenia w ten sposób funkcjonalności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danego elementu Wystawy dla zwiedzających. Zamawiający dopuszcza zastosowanie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rozwiązań zastępczych o parametrach innych niż uszkodzone pod warunkiem, że ich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zastosowanie będzie umożliwiało właściwe użytkowanie Wystawy przez zwiedzających.</w:t>
      </w:r>
    </w:p>
    <w:p w:rsidR="00B16030" w:rsidRDefault="00B16030" w:rsidP="00052F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52F0A">
        <w:rPr>
          <w:rFonts w:cstheme="minorHAnsi"/>
        </w:rPr>
        <w:t>Czas naprawy: czas liczony od momentu przesłania zgłoszenia wady/awarii do czasu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wdrożenia przez Wykonawcę docelowego rozwiązania problemu. Naprawa musi przywracać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pełną funkcjonalność systemu (sprzęt, oprogramowanie) z zachowaniem parametrów nie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gorszych niż te sprzed awarii. W szczególności Wykonawca może usunąć awarię od razu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realizując naprawę bez stosowania obejścia, jeśli spełni to wymagane warunki dotyczące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czasu przywrócenia działania przez obejście.</w:t>
      </w:r>
    </w:p>
    <w:p w:rsidR="00B16030" w:rsidRDefault="00B16030" w:rsidP="00052F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52F0A">
        <w:rPr>
          <w:rFonts w:cstheme="minorHAnsi"/>
        </w:rPr>
        <w:t>Awaria krytyczna to awaria spełniająca co najmniej jeden z warunków:</w:t>
      </w:r>
    </w:p>
    <w:p w:rsidR="00B16030" w:rsidRDefault="00B16030" w:rsidP="00B1603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2F0A">
        <w:rPr>
          <w:rFonts w:cstheme="minorHAnsi"/>
        </w:rPr>
        <w:t>awaria uniemożliwiająca obsługę któregokolwiek ze stanowisk przez zwiedzających,</w:t>
      </w:r>
    </w:p>
    <w:p w:rsidR="00B16030" w:rsidRDefault="00B16030" w:rsidP="00B1603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2F0A">
        <w:rPr>
          <w:rFonts w:cstheme="minorHAnsi"/>
        </w:rPr>
        <w:t>awaria uniemożliwiająca realizację istotnych z punktu widzenia zwiedzających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funkcjonalności oprogramowania sterującego (na przykład awaria funkcjonalności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włączania i wyłączania stanowisk AV Wystawy),</w:t>
      </w:r>
    </w:p>
    <w:p w:rsidR="00B16030" w:rsidRPr="00052F0A" w:rsidRDefault="00B16030" w:rsidP="00052F0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1434" w:hanging="357"/>
        <w:contextualSpacing w:val="0"/>
        <w:jc w:val="both"/>
        <w:rPr>
          <w:rFonts w:cstheme="minorHAnsi"/>
        </w:rPr>
      </w:pPr>
      <w:r w:rsidRPr="00052F0A">
        <w:rPr>
          <w:rFonts w:cstheme="minorHAnsi"/>
        </w:rPr>
        <w:t>awaria systemu sterowania oświetleniem i dźwiękiem.</w:t>
      </w:r>
    </w:p>
    <w:p w:rsidR="00B16030" w:rsidRDefault="00B16030" w:rsidP="00052F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52F0A">
        <w:rPr>
          <w:rFonts w:cstheme="minorHAnsi"/>
        </w:rPr>
        <w:t>Awaria standardowa to każda inna niż krytyczna awaria dowolnego elementu systemu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wdrożonego w ramach Umowy skutkująca niewłaściwym działaniem dowolnego jego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elementu a w szczególności działanie niezgodne z dokumentacją powykonawczą i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instrukcjami obsługi.</w:t>
      </w:r>
    </w:p>
    <w:p w:rsidR="00B16030" w:rsidRDefault="00B16030" w:rsidP="00052F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52F0A">
        <w:rPr>
          <w:rFonts w:cstheme="minorHAnsi"/>
        </w:rPr>
        <w:t>Obejście lub naprawę uznaje się za skutecznie zrealizowaną i przestaje biec naliczanie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czasu obejścia lub naprawy w momencie zgłoszenia przez Wykonawcę faktu zakończenia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naprawy, o ile weryfikacja Zamawiającego wykonana w terminie nie dłuższym niż 1 dzień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roboczy od zgłoszenia potwierdzi fakt poprawnej naprawy. Jeżeli prawidłowość naprawy nie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zostanie jednak pozytywnie potwierdzona czas obejścia lub naprawy naliczany jest dalej, aż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do momentu zgłoszenia zakończenia naprawy, która zostanie potwierdzona przez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Zamawiającego jako poprawna.</w:t>
      </w:r>
    </w:p>
    <w:p w:rsidR="00B16030" w:rsidRDefault="00B16030" w:rsidP="00B1603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2F0A">
        <w:rPr>
          <w:rFonts w:cstheme="minorHAnsi"/>
        </w:rPr>
        <w:t>Naprawy sprzętu znajdującego się na terenie Wystawy w pomieszczeniach normalnie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dostępnych dla zwiedzających mogą być realizowane po godzinach otwarcia Wystawy w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oknach serwisowych. Naprawy awarii innych elementów systemu umiejscowionych poza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pomieszczeniami dostępnymi dla zwiedzających mogą być prowadzone w dowolnym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momencie pod warunkiem, że prowadzenie tych prac nie zakłóci funkcjonowania stanowisk i</w:t>
      </w:r>
      <w:r w:rsidR="00052F0A" w:rsidRPr="00052F0A">
        <w:rPr>
          <w:rFonts w:cstheme="minorHAnsi"/>
        </w:rPr>
        <w:t xml:space="preserve"> </w:t>
      </w:r>
      <w:r w:rsidRPr="00052F0A">
        <w:rPr>
          <w:rFonts w:cstheme="minorHAnsi"/>
        </w:rPr>
        <w:t>innych elementów wpływających bezpośrednio na zwiedzających.</w:t>
      </w:r>
    </w:p>
    <w:p w:rsidR="00052F0A" w:rsidRPr="00052F0A" w:rsidRDefault="00052F0A" w:rsidP="00052F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53619" w:rsidRDefault="00153619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153619" w:rsidRPr="00497399" w:rsidRDefault="00153619" w:rsidP="0015361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497399">
        <w:rPr>
          <w:rFonts w:cstheme="minorHAnsi"/>
          <w:b/>
          <w:bCs/>
        </w:rPr>
        <w:t>Usuwanie zgłoszonych wad pozostałych elementów przedmiotu Umowy - szczegóły.</w:t>
      </w:r>
    </w:p>
    <w:p w:rsidR="00153619" w:rsidRDefault="00153619" w:rsidP="001536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97399">
        <w:rPr>
          <w:rFonts w:cstheme="minorHAnsi"/>
        </w:rPr>
        <w:t xml:space="preserve">W przypadku ujawnienia się wady w zakresie przedmiotowym objętym gwarancją Zamawiający (lub Użytkownik) dokona zgłoszenia Wykonawcy tego faktu w terminie 45 dni roboczych od jego wystąpienia. Zgłoszenie dokonane zostanie telefoniczne, faxem, pocztą </w:t>
      </w:r>
      <w:r w:rsidRPr="00497399">
        <w:rPr>
          <w:rFonts w:cstheme="minorHAnsi"/>
        </w:rPr>
        <w:lastRenderedPageBreak/>
        <w:t>elektroniczną lub pocztą tradycyjną – zgodnie z danymi wskazanym przez Wykonawcę w nagłówku. Wykonawca zobowiązany jest usunąć na własny koszt zgłoszoną wadę w terminie 30 dni.</w:t>
      </w:r>
    </w:p>
    <w:p w:rsidR="00153619" w:rsidRDefault="00153619" w:rsidP="001536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97399">
        <w:rPr>
          <w:rFonts w:cstheme="minorHAnsi"/>
        </w:rPr>
        <w:t>W przypadku zgłoszenia wady uniemożliwiającej dalszą prawidłową eksploatacją części lub całości przedmiotu umowy lub powodującą zagrożenie bezpieczeństwa ludzi i mienia (wada istotna), wada zostanie usunięta niezwłocznie – nie później niż 3 dni od daty zawiadomienia.</w:t>
      </w:r>
    </w:p>
    <w:p w:rsidR="00153619" w:rsidRDefault="00153619" w:rsidP="001536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97399">
        <w:rPr>
          <w:rFonts w:cstheme="minorHAnsi"/>
        </w:rPr>
        <w:t>W uzasadnionych przypadkach na wniosek Wykonawcy, Zamawiający może udzielić innych niż w punkcie 1 i 2 terminu usunięcia wad.</w:t>
      </w:r>
    </w:p>
    <w:p w:rsidR="00153619" w:rsidRDefault="00153619" w:rsidP="001536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97399">
        <w:rPr>
          <w:rFonts w:cstheme="minorHAnsi"/>
        </w:rPr>
        <w:t>Zgodnie z art. 581 Kodeksu cywilnego w przypadku wymiany rzeczy na nową lub też po dokonaniu istotnych napraw w rzeczy termin gwarancji liczy się na nowo. W innych wypadkach termin gwarancji ulega przedłużeniu o czas, w ciągu którego wskutek wady rzeczy objętej gwarancją uprawniony z gwarancji nie mógł z niej korzystać.</w:t>
      </w:r>
    </w:p>
    <w:p w:rsidR="00B16030" w:rsidRDefault="00153619" w:rsidP="008A590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53619">
        <w:rPr>
          <w:rFonts w:cstheme="minorHAnsi"/>
        </w:rPr>
        <w:t xml:space="preserve">W przypadku powtarzającej się trzykrotnie awarii tego samego rodzaju w danym urządzeniu/systemie/materiale/produkcie Wykonawca zobowiązany będzie do dostarczenia nowego sprzętu technicznego w terminie maksymalnie 21 dni od dnia zgłoszenia przez zamawiającego takiego żądania w formie pisemnej. </w:t>
      </w:r>
      <w:r w:rsidR="00B16030" w:rsidRPr="00153619">
        <w:rPr>
          <w:rFonts w:cstheme="minorHAnsi"/>
        </w:rPr>
        <w:t>W przypadku wystąpienia kolejnej wady tego samego rodzaju (dotyczącego tego samego</w:t>
      </w:r>
      <w:r w:rsidRPr="00153619">
        <w:rPr>
          <w:rFonts w:cstheme="minorHAnsi"/>
        </w:rPr>
        <w:t xml:space="preserve"> </w:t>
      </w:r>
      <w:r w:rsidR="00B16030" w:rsidRPr="00153619">
        <w:rPr>
          <w:rFonts w:cstheme="minorHAnsi"/>
        </w:rPr>
        <w:t>systemu/układu/oprogramowania itp.) tego samego sprzętu lub jego elementu, po</w:t>
      </w:r>
      <w:r w:rsidRPr="00153619">
        <w:rPr>
          <w:rFonts w:cstheme="minorHAnsi"/>
        </w:rPr>
        <w:t xml:space="preserve"> </w:t>
      </w:r>
      <w:r w:rsidR="00B16030" w:rsidRPr="00153619">
        <w:rPr>
          <w:rFonts w:cstheme="minorHAnsi"/>
        </w:rPr>
        <w:t>wcześniejszym wykonaniu 3 napraw tego samego sprzętu lub jego elementu wykonawca</w:t>
      </w:r>
      <w:r w:rsidRPr="00153619">
        <w:rPr>
          <w:rFonts w:cstheme="minorHAnsi"/>
        </w:rPr>
        <w:t xml:space="preserve"> </w:t>
      </w:r>
      <w:r w:rsidR="00B16030" w:rsidRPr="00153619">
        <w:rPr>
          <w:rFonts w:cstheme="minorHAnsi"/>
        </w:rPr>
        <w:t>zobowiązany będzie do dostarczenia nowego sprzętu technicznego w terminie maksymalnie</w:t>
      </w:r>
      <w:r w:rsidRPr="00153619">
        <w:rPr>
          <w:rFonts w:cstheme="minorHAnsi"/>
        </w:rPr>
        <w:t xml:space="preserve"> </w:t>
      </w:r>
      <w:r w:rsidR="00B16030" w:rsidRPr="00153619">
        <w:rPr>
          <w:rFonts w:cstheme="minorHAnsi"/>
        </w:rPr>
        <w:t>21 dni od dnia zgłoszenia przez zamawiającego takiego żądania w formie pisemnej.</w:t>
      </w:r>
    </w:p>
    <w:p w:rsidR="00153619" w:rsidRPr="00153619" w:rsidRDefault="00153619" w:rsidP="00153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16030" w:rsidRPr="00153619" w:rsidRDefault="00B16030" w:rsidP="001536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153619">
        <w:rPr>
          <w:rFonts w:cstheme="minorHAnsi"/>
          <w:b/>
          <w:bCs/>
        </w:rPr>
        <w:t>Postanowienia końcowe.</w:t>
      </w:r>
    </w:p>
    <w:p w:rsidR="00B16030" w:rsidRDefault="00B16030" w:rsidP="00AB337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53619">
        <w:rPr>
          <w:rFonts w:cstheme="minorHAnsi"/>
        </w:rPr>
        <w:t>W przypadku, gdy Wykonawca nie przystępuje do usuwania Wad lub usunie Wady w sposób</w:t>
      </w:r>
      <w:r w:rsidR="00153619" w:rsidRPr="00153619">
        <w:rPr>
          <w:rFonts w:cstheme="minorHAnsi"/>
        </w:rPr>
        <w:t xml:space="preserve"> </w:t>
      </w:r>
      <w:r w:rsidRPr="00153619">
        <w:rPr>
          <w:rFonts w:cstheme="minorHAnsi"/>
        </w:rPr>
        <w:t>nienależyty lub niezgodny z zapisami powyższych Warunków Gwarancji, Zamawiający, poza</w:t>
      </w:r>
      <w:r w:rsidR="00153619" w:rsidRPr="00153619">
        <w:rPr>
          <w:rFonts w:cstheme="minorHAnsi"/>
        </w:rPr>
        <w:t xml:space="preserve"> </w:t>
      </w:r>
      <w:r w:rsidRPr="00153619">
        <w:rPr>
          <w:rFonts w:cstheme="minorHAnsi"/>
        </w:rPr>
        <w:t>uprawnieniami przysługującymi mu na podstawie KC, może powierzyć usunięcie Wad</w:t>
      </w:r>
      <w:r w:rsidR="00153619" w:rsidRPr="00153619">
        <w:rPr>
          <w:rFonts w:cstheme="minorHAnsi"/>
        </w:rPr>
        <w:t xml:space="preserve"> </w:t>
      </w:r>
      <w:r w:rsidRPr="00153619">
        <w:rPr>
          <w:rFonts w:cstheme="minorHAnsi"/>
        </w:rPr>
        <w:t>podmiotowi trzeciemu na koszt i ryzyko Wykonawcy (wykonanie zastępcze), po uprzednim</w:t>
      </w:r>
      <w:r w:rsidR="00153619" w:rsidRPr="00153619">
        <w:rPr>
          <w:rFonts w:cstheme="minorHAnsi"/>
        </w:rPr>
        <w:t xml:space="preserve"> </w:t>
      </w:r>
      <w:r w:rsidRPr="00153619">
        <w:rPr>
          <w:rFonts w:cstheme="minorHAnsi"/>
        </w:rPr>
        <w:t>wezwaniu Wykonawcy i wyznaczeniu dodatkowego terminu nie krótszego niż 14 dni</w:t>
      </w:r>
      <w:r w:rsidR="00153619" w:rsidRPr="00153619">
        <w:rPr>
          <w:rFonts w:cstheme="minorHAnsi"/>
        </w:rPr>
        <w:t xml:space="preserve"> </w:t>
      </w:r>
      <w:r w:rsidRPr="00153619">
        <w:rPr>
          <w:rFonts w:cstheme="minorHAnsi"/>
        </w:rPr>
        <w:t>roboczych. Wynagrodzenie należne podmiotowi trzeciemu Zamawiający może potrącić z</w:t>
      </w:r>
      <w:r w:rsidR="00153619" w:rsidRPr="00153619">
        <w:rPr>
          <w:rFonts w:cstheme="minorHAnsi"/>
        </w:rPr>
        <w:t xml:space="preserve"> </w:t>
      </w:r>
      <w:r w:rsidRPr="00153619">
        <w:rPr>
          <w:rFonts w:cstheme="minorHAnsi"/>
        </w:rPr>
        <w:t>zabezpieczenia należytego wykonania.</w:t>
      </w:r>
    </w:p>
    <w:p w:rsidR="00153619" w:rsidRDefault="00153619" w:rsidP="00153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53619" w:rsidRDefault="00153619" w:rsidP="00153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53619" w:rsidRPr="00153619" w:rsidRDefault="00153619" w:rsidP="00153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16030">
        <w:rPr>
          <w:rFonts w:cstheme="minorHAnsi"/>
          <w:b/>
          <w:bCs/>
        </w:rPr>
        <w:t>Warunki gwarancji akceptują bez uwag i zobowiązują się do ich przestrzegania:</w:t>
      </w:r>
    </w:p>
    <w:p w:rsidR="00B16030" w:rsidRPr="00B16030" w:rsidRDefault="00B16030" w:rsidP="00B16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16030">
        <w:rPr>
          <w:rFonts w:cstheme="minorHAnsi"/>
          <w:b/>
          <w:bCs/>
        </w:rPr>
        <w:t>Udzielający gwarancji i rękojmi</w:t>
      </w:r>
    </w:p>
    <w:p w:rsidR="00B16030" w:rsidRPr="00B16030" w:rsidRDefault="00B16030" w:rsidP="00B16030">
      <w:pPr>
        <w:jc w:val="both"/>
        <w:rPr>
          <w:rFonts w:cstheme="minorHAnsi"/>
        </w:rPr>
      </w:pPr>
      <w:r w:rsidRPr="00B16030">
        <w:rPr>
          <w:rFonts w:cstheme="minorHAnsi"/>
        </w:rPr>
        <w:t>Przedstawiciel Wykonawcy:</w:t>
      </w:r>
    </w:p>
    <w:p w:rsidR="00B16030" w:rsidRPr="00B16030" w:rsidRDefault="00B16030" w:rsidP="00B16030">
      <w:pPr>
        <w:jc w:val="both"/>
        <w:rPr>
          <w:rFonts w:cstheme="minorHAnsi"/>
        </w:rPr>
      </w:pPr>
    </w:p>
    <w:p w:rsidR="00B16030" w:rsidRPr="00B16030" w:rsidRDefault="00B16030" w:rsidP="00B16030">
      <w:pPr>
        <w:jc w:val="both"/>
        <w:rPr>
          <w:rFonts w:cstheme="minorHAnsi"/>
        </w:rPr>
      </w:pPr>
    </w:p>
    <w:p w:rsidR="00B16030" w:rsidRPr="00B16030" w:rsidRDefault="00B16030" w:rsidP="00B16030">
      <w:pPr>
        <w:jc w:val="both"/>
        <w:rPr>
          <w:rFonts w:cstheme="minorHAnsi"/>
        </w:rPr>
      </w:pPr>
    </w:p>
    <w:p w:rsidR="00B16030" w:rsidRPr="00B16030" w:rsidRDefault="00B16030" w:rsidP="00B16030">
      <w:pPr>
        <w:jc w:val="both"/>
        <w:rPr>
          <w:rFonts w:cstheme="minorHAnsi"/>
        </w:rPr>
      </w:pPr>
    </w:p>
    <w:sectPr w:rsidR="00B16030" w:rsidRPr="00B16030" w:rsidSect="0042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86" w:rsidRDefault="00A97B86" w:rsidP="004250FB">
      <w:pPr>
        <w:spacing w:after="0" w:line="240" w:lineRule="auto"/>
      </w:pPr>
      <w:r>
        <w:separator/>
      </w:r>
    </w:p>
  </w:endnote>
  <w:endnote w:type="continuationSeparator" w:id="0">
    <w:p w:rsidR="00A97B86" w:rsidRDefault="00A97B86" w:rsidP="0042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FB" w:rsidRDefault="004250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FB" w:rsidRDefault="00425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FB" w:rsidRPr="00086A4C" w:rsidRDefault="004250FB" w:rsidP="004250FB">
    <w:pPr>
      <w:spacing w:before="120" w:after="120"/>
      <w:jc w:val="center"/>
      <w:rPr>
        <w:rFonts w:ascii="Arial Narrow" w:eastAsia="Times New Roman" w:hAnsi="Arial Narrow" w:cs="Arial"/>
        <w:i/>
        <w:sz w:val="20"/>
        <w:szCs w:val="20"/>
        <w:lang w:eastAsia="pl-PL"/>
      </w:rPr>
    </w:pPr>
    <w:r w:rsidRPr="00086A4C">
      <w:rPr>
        <w:rFonts w:ascii="Arial Narrow" w:eastAsia="Calibri" w:hAnsi="Arial Narrow" w:cs="Arial"/>
        <w:i/>
        <w:sz w:val="20"/>
        <w:szCs w:val="20"/>
        <w:shd w:val="clear" w:color="auto" w:fill="FFFFFF"/>
      </w:rPr>
      <w:t>Zadanie realizowane w ramach projektu nr POIS.08.01.00-00-0120/17 pn. „Rozbudowa i modernizacja Mauzoleum Martyrologii Wsi Polskich w Michniowie” realizowanego w ramach VIII osi priorytetowej „Ochrona dziedzictwa kulturowego i rozwój zasobów kultury” Programu Operacyjnego Infrastruktura i Środowisko 2014-2020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86" w:rsidRDefault="00A97B86" w:rsidP="004250FB">
      <w:pPr>
        <w:spacing w:after="0" w:line="240" w:lineRule="auto"/>
      </w:pPr>
      <w:r>
        <w:separator/>
      </w:r>
    </w:p>
  </w:footnote>
  <w:footnote w:type="continuationSeparator" w:id="0">
    <w:p w:rsidR="00A97B86" w:rsidRDefault="00A97B86" w:rsidP="0042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FB" w:rsidRDefault="004250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FB" w:rsidRDefault="004250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FB" w:rsidRDefault="004250FB">
    <w:pPr>
      <w:pStyle w:val="Nagwek"/>
    </w:pPr>
    <w:r w:rsidRPr="00FB3730"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6BDE83B" wp14:editId="0E82E6FE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5762625" cy="571500"/>
          <wp:effectExtent l="0" t="0" r="9525" b="0"/>
          <wp:wrapThrough wrapText="bothSides">
            <wp:wrapPolygon edited="0">
              <wp:start x="0" y="0"/>
              <wp:lineTo x="0" y="20880"/>
              <wp:lineTo x="21564" y="20880"/>
              <wp:lineTo x="21564" y="0"/>
              <wp:lineTo x="0" y="0"/>
            </wp:wrapPolygon>
          </wp:wrapThrough>
          <wp:docPr id="31" name="Obraz 31" descr="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71C"/>
    <w:multiLevelType w:val="hybridMultilevel"/>
    <w:tmpl w:val="F7FC2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67A"/>
    <w:multiLevelType w:val="hybridMultilevel"/>
    <w:tmpl w:val="7734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9CF"/>
    <w:multiLevelType w:val="hybridMultilevel"/>
    <w:tmpl w:val="9DC04C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51716"/>
    <w:multiLevelType w:val="hybridMultilevel"/>
    <w:tmpl w:val="BCB61A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53378"/>
    <w:multiLevelType w:val="hybridMultilevel"/>
    <w:tmpl w:val="816812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346B9"/>
    <w:multiLevelType w:val="hybridMultilevel"/>
    <w:tmpl w:val="6E343A5C"/>
    <w:lvl w:ilvl="0" w:tplc="16D65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B6D35"/>
    <w:multiLevelType w:val="hybridMultilevel"/>
    <w:tmpl w:val="AA0AF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275"/>
    <w:multiLevelType w:val="hybridMultilevel"/>
    <w:tmpl w:val="0004D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049D"/>
    <w:multiLevelType w:val="hybridMultilevel"/>
    <w:tmpl w:val="7A9662F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F12561"/>
    <w:multiLevelType w:val="hybridMultilevel"/>
    <w:tmpl w:val="75C8D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F73E4"/>
    <w:multiLevelType w:val="hybridMultilevel"/>
    <w:tmpl w:val="5D12F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B1E96"/>
    <w:multiLevelType w:val="hybridMultilevel"/>
    <w:tmpl w:val="505E9C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4F52CC"/>
    <w:multiLevelType w:val="hybridMultilevel"/>
    <w:tmpl w:val="0A68920C"/>
    <w:lvl w:ilvl="0" w:tplc="0B7E4A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41E81"/>
    <w:multiLevelType w:val="hybridMultilevel"/>
    <w:tmpl w:val="F464572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601827"/>
    <w:multiLevelType w:val="hybridMultilevel"/>
    <w:tmpl w:val="5B66D194"/>
    <w:lvl w:ilvl="0" w:tplc="4B2091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546C"/>
    <w:multiLevelType w:val="hybridMultilevel"/>
    <w:tmpl w:val="61965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764"/>
    <w:multiLevelType w:val="hybridMultilevel"/>
    <w:tmpl w:val="FFDC43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D78D2"/>
    <w:multiLevelType w:val="hybridMultilevel"/>
    <w:tmpl w:val="A406E4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E17DE"/>
    <w:multiLevelType w:val="hybridMultilevel"/>
    <w:tmpl w:val="A5D8C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D6D8B"/>
    <w:multiLevelType w:val="hybridMultilevel"/>
    <w:tmpl w:val="57D63E62"/>
    <w:lvl w:ilvl="0" w:tplc="EAF2CF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F0DAD"/>
    <w:multiLevelType w:val="hybridMultilevel"/>
    <w:tmpl w:val="C71AB9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176218"/>
    <w:multiLevelType w:val="hybridMultilevel"/>
    <w:tmpl w:val="E24E4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30413"/>
    <w:multiLevelType w:val="hybridMultilevel"/>
    <w:tmpl w:val="1E7E52C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F71924"/>
    <w:multiLevelType w:val="hybridMultilevel"/>
    <w:tmpl w:val="6A84B7E4"/>
    <w:lvl w:ilvl="0" w:tplc="A9BE6644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16048"/>
    <w:multiLevelType w:val="hybridMultilevel"/>
    <w:tmpl w:val="09A2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C3034"/>
    <w:multiLevelType w:val="hybridMultilevel"/>
    <w:tmpl w:val="0D9EDEEC"/>
    <w:lvl w:ilvl="0" w:tplc="BB08A01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24400"/>
    <w:multiLevelType w:val="hybridMultilevel"/>
    <w:tmpl w:val="02CC8F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A550F"/>
    <w:multiLevelType w:val="hybridMultilevel"/>
    <w:tmpl w:val="DA14B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93B87"/>
    <w:multiLevelType w:val="hybridMultilevel"/>
    <w:tmpl w:val="6AC69A28"/>
    <w:lvl w:ilvl="0" w:tplc="94FC355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2386B"/>
    <w:multiLevelType w:val="hybridMultilevel"/>
    <w:tmpl w:val="440ABC9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B6A2076"/>
    <w:multiLevelType w:val="hybridMultilevel"/>
    <w:tmpl w:val="344A8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6C0"/>
    <w:multiLevelType w:val="hybridMultilevel"/>
    <w:tmpl w:val="FCC245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74DAB"/>
    <w:multiLevelType w:val="hybridMultilevel"/>
    <w:tmpl w:val="DCBE04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D42D8"/>
    <w:multiLevelType w:val="hybridMultilevel"/>
    <w:tmpl w:val="30EC32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86B97"/>
    <w:multiLevelType w:val="hybridMultilevel"/>
    <w:tmpl w:val="E7AE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E1893"/>
    <w:multiLevelType w:val="hybridMultilevel"/>
    <w:tmpl w:val="E5FEBE1E"/>
    <w:lvl w:ilvl="0" w:tplc="2E6E7A78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5D82"/>
    <w:multiLevelType w:val="hybridMultilevel"/>
    <w:tmpl w:val="0E5AFEF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29"/>
  </w:num>
  <w:num w:numId="6">
    <w:abstractNumId w:val="3"/>
  </w:num>
  <w:num w:numId="7">
    <w:abstractNumId w:val="6"/>
  </w:num>
  <w:num w:numId="8">
    <w:abstractNumId w:val="27"/>
  </w:num>
  <w:num w:numId="9">
    <w:abstractNumId w:val="34"/>
  </w:num>
  <w:num w:numId="10">
    <w:abstractNumId w:val="31"/>
  </w:num>
  <w:num w:numId="11">
    <w:abstractNumId w:val="25"/>
  </w:num>
  <w:num w:numId="12">
    <w:abstractNumId w:val="0"/>
  </w:num>
  <w:num w:numId="13">
    <w:abstractNumId w:val="21"/>
  </w:num>
  <w:num w:numId="14">
    <w:abstractNumId w:val="17"/>
  </w:num>
  <w:num w:numId="15">
    <w:abstractNumId w:val="2"/>
  </w:num>
  <w:num w:numId="16">
    <w:abstractNumId w:val="16"/>
  </w:num>
  <w:num w:numId="17">
    <w:abstractNumId w:val="28"/>
  </w:num>
  <w:num w:numId="18">
    <w:abstractNumId w:val="14"/>
  </w:num>
  <w:num w:numId="19">
    <w:abstractNumId w:val="15"/>
  </w:num>
  <w:num w:numId="20">
    <w:abstractNumId w:val="32"/>
  </w:num>
  <w:num w:numId="21">
    <w:abstractNumId w:val="13"/>
  </w:num>
  <w:num w:numId="22">
    <w:abstractNumId w:val="4"/>
  </w:num>
  <w:num w:numId="23">
    <w:abstractNumId w:val="36"/>
  </w:num>
  <w:num w:numId="24">
    <w:abstractNumId w:val="8"/>
  </w:num>
  <w:num w:numId="25">
    <w:abstractNumId w:val="33"/>
  </w:num>
  <w:num w:numId="26">
    <w:abstractNumId w:val="22"/>
  </w:num>
  <w:num w:numId="27">
    <w:abstractNumId w:val="26"/>
  </w:num>
  <w:num w:numId="28">
    <w:abstractNumId w:val="9"/>
  </w:num>
  <w:num w:numId="29">
    <w:abstractNumId w:val="19"/>
  </w:num>
  <w:num w:numId="30">
    <w:abstractNumId w:val="30"/>
  </w:num>
  <w:num w:numId="31">
    <w:abstractNumId w:val="1"/>
  </w:num>
  <w:num w:numId="32">
    <w:abstractNumId w:val="11"/>
  </w:num>
  <w:num w:numId="33">
    <w:abstractNumId w:val="7"/>
  </w:num>
  <w:num w:numId="34">
    <w:abstractNumId w:val="35"/>
  </w:num>
  <w:num w:numId="35">
    <w:abstractNumId w:val="18"/>
  </w:num>
  <w:num w:numId="36">
    <w:abstractNumId w:val="23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30"/>
    <w:rsid w:val="00045B94"/>
    <w:rsid w:val="00052F0A"/>
    <w:rsid w:val="00153619"/>
    <w:rsid w:val="00167A6C"/>
    <w:rsid w:val="00383E21"/>
    <w:rsid w:val="004250FB"/>
    <w:rsid w:val="004508ED"/>
    <w:rsid w:val="006A4FF2"/>
    <w:rsid w:val="00914094"/>
    <w:rsid w:val="009673F1"/>
    <w:rsid w:val="00A87094"/>
    <w:rsid w:val="00A97B86"/>
    <w:rsid w:val="00B16030"/>
    <w:rsid w:val="00B93FE4"/>
    <w:rsid w:val="00EC5F0D"/>
    <w:rsid w:val="00F13D61"/>
    <w:rsid w:val="00F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6DF0-58BE-48BF-BC65-93E32725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E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0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0FB"/>
  </w:style>
  <w:style w:type="paragraph" w:styleId="Stopka">
    <w:name w:val="footer"/>
    <w:basedOn w:val="Normalny"/>
    <w:link w:val="StopkaZnak"/>
    <w:uiPriority w:val="99"/>
    <w:unhideWhenUsed/>
    <w:rsid w:val="0042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FD17-7451-447E-8ECE-FF493A9F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2179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Tarka</cp:lastModifiedBy>
  <cp:revision>3</cp:revision>
  <dcterms:created xsi:type="dcterms:W3CDTF">2018-02-06T13:42:00Z</dcterms:created>
  <dcterms:modified xsi:type="dcterms:W3CDTF">2018-02-06T13:43:00Z</dcterms:modified>
</cp:coreProperties>
</file>