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E7" w:rsidRDefault="00C96CE7" w:rsidP="00C96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Załącznik nr 8 </w:t>
      </w:r>
      <w:r>
        <w:rPr>
          <w:rFonts w:ascii="Times New Roman" w:hAnsi="Times New Roman" w:cs="Times New Roman"/>
          <w:color w:val="000000"/>
        </w:rPr>
        <w:t>do SIWZ</w:t>
      </w:r>
    </w:p>
    <w:p w:rsidR="00C96CE7" w:rsidRDefault="00C96CE7" w:rsidP="00C96C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dot.: postępowania o udzielenie zamówienia publicznego. Numer sprawy </w:t>
      </w:r>
      <w:r>
        <w:rPr>
          <w:rFonts w:ascii="Times New Roman" w:hAnsi="Times New Roman" w:cs="Times New Roman"/>
          <w:color w:val="000000" w:themeColor="text1"/>
        </w:rPr>
        <w:t>DPI.272.11.19</w:t>
      </w:r>
      <w:bookmarkStart w:id="0" w:name="_GoBack"/>
      <w:bookmarkEnd w:id="0"/>
      <w:r w:rsidRPr="00732AE6">
        <w:rPr>
          <w:rFonts w:ascii="Times New Roman" w:hAnsi="Times New Roman" w:cs="Times New Roman"/>
          <w:color w:val="000000" w:themeColor="text1"/>
        </w:rPr>
        <w:t>.2017</w:t>
      </w:r>
    </w:p>
    <w:p w:rsidR="00C96CE7" w:rsidRDefault="00C96CE7" w:rsidP="00C96CE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odczynników oraz materiałów zużywalnych do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Biobanku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Świętokrzyskiego</w:t>
      </w:r>
    </w:p>
    <w:p w:rsidR="00C96CE7" w:rsidRDefault="00C96CE7" w:rsidP="00E3595B">
      <w:pPr>
        <w:tabs>
          <w:tab w:val="left" w:pos="4962"/>
        </w:tabs>
        <w:ind w:right="1"/>
        <w:rPr>
          <w:rFonts w:ascii="Times New Roman" w:hAnsi="Times New Roman" w:cs="Times New Roman"/>
        </w:rPr>
      </w:pPr>
    </w:p>
    <w:p w:rsidR="00B20BFC" w:rsidRDefault="00C312A6" w:rsidP="00E3595B">
      <w:pPr>
        <w:tabs>
          <w:tab w:val="left" w:pos="4962"/>
        </w:tabs>
        <w:ind w:right="1"/>
        <w:rPr>
          <w:rFonts w:ascii="Times New Roman" w:hAnsi="Times New Roman" w:cs="Times New Roman"/>
        </w:rPr>
      </w:pPr>
      <w:r w:rsidRPr="00C312A6">
        <w:rPr>
          <w:rFonts w:ascii="Times New Roman" w:hAnsi="Times New Roman" w:cs="Times New Roman"/>
        </w:rPr>
        <w:t>Zadanie I Dostawa jednorazowa materiałów zużywalnych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4962"/>
        </w:tabs>
        <w:ind w:right="1"/>
        <w:rPr>
          <w:rFonts w:ascii="Times New Roman" w:hAnsi="Times New Roman" w:cs="Times New Roman"/>
        </w:rPr>
      </w:pPr>
    </w:p>
    <w:tbl>
      <w:tblPr>
        <w:tblW w:w="51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3781"/>
        <w:gridCol w:w="851"/>
        <w:gridCol w:w="851"/>
        <w:gridCol w:w="2835"/>
      </w:tblGrid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Opis przedmiotu zamówienia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AF5F7E">
            <w:pPr>
              <w:tabs>
                <w:tab w:val="left" w:pos="254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Flizelinowe ochraniacze na obuwie (w rozumieniu Zamawiającego 1  sztuka = 1 ochraniacz)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Flizelinowe czepki (w rozumieniu Zamawiającego 1  sztuka = 1 czepek)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lateksowe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 (w  rozumieniu Zamawiającego 1 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lateksowe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 (w  rozumieniu Zamawiającego 1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nitrylowe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 (w rozumieniu Zamawiającego 1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Diagnostyczne rękawice nitrylowe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 (w rozumieniu Zamawiającego 1   sztuka = 1 rękawiczka)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Kompresy z gazy opatrunkowej, jałowe, z zawijanymi krawędziami, 10x10 mm, pakowane po 2 lub 3 kompresy w blistrze/saszetce (W rozumieniu Zamawiającego 1   sztukę stanowi pojedynczy kompres - np. w przypadku kompresów pakowanych po 2 w saszetce, jedna saszetka stanowi 2   sztuki)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Kompresy z gazy opatrunkowej, jałowe, z zawijanymi krawędziami, 5x5 mm, pakowane po 2 lub 3 kompresy w blistrze/saszetce (W rozumieniu Zamawiającego 1  sztukę stanowi pojedynczy kompres - np. w przypadku kompresów pakowanych po 2 w saszetce, jedna saszetka stanowi 2   sztuki)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3 000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Kompresy z gazy niejałowe 10x10 mm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20 000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Rękaw papierowo-foliowy do sterylizacji parą wodną z zakładką, wymiary 350mm x 80mm x 100m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rolka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Pojemnik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twardościenny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 odpady medyczne kolor czerwony, pojemność 0,7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Fartuchy flizelinowe rozmiar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Pojemnik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twardościenny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 odpady medyczne kolor czerwony, pojemność 2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Worki jednorazowego użycia z folii polietylenowej LDPE na odpady medyczne, kolor czerwony, pojemność 120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Worki jednorazowego użycia z folii polietylenowej LDPE na odpady medyczne, kolor czerwony, pojemność 60 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Worki jednorazowego użycia z folii polietylenowej LDPE na odpady medyczne, kolor żółty, pojemność 120 </w:t>
            </w: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Worki jednorazowego użycia z folii polietylenowej LDPE na odpady medyczne, kolor żółty, pojemność 60 l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Maska medyczna trzywarstwowa z gumką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Igły sterylne 0,9 mm pakowane pojedynczo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Rękawice chirurgiczne sterylne, jednorazowe, lateksowe,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pakowane parami (po 2 szt.)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 par w </w:t>
            </w:r>
            <w:proofErr w:type="spellStart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rozm</w:t>
            </w:r>
            <w:proofErr w:type="spellEnd"/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M [7,5]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Serwety chirurgiczne, sterylne, bez otworu, pakowane pojedynczo, o wymiarach 60 (±15) x 70 cm (±10) 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Strzykawki sterylne 2 ml, 2-częściowe, o przezroczystym cylindrze z podziałką, pakowane pojedynczo Szt. 1500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Strzykawki sterylne 10 ml, 2-częściowe, o przezroczystym cylindrze z podziałką, pakowane pojedynczo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Strzykawki sterylne 20 ml, 2-częściowe, o przezroczystym cylindrze z podziałką, pakowane pojedynczo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Igły sterylne 1,2 mm pakowane pojedynczo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AF54FA" w:rsidTr="00AF5F7E">
        <w:trPr>
          <w:trHeight w:val="5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Włókninowy przylepiec hipoalergiczny ogólnego zastosowania dł. ok.9,1m szer. ok. 1,25cm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4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AF54FA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312A6" w:rsidRPr="00C312A6" w:rsidRDefault="00C312A6" w:rsidP="00E3595B">
      <w:pPr>
        <w:ind w:right="1"/>
        <w:rPr>
          <w:rFonts w:ascii="Times New Roman" w:hAnsi="Times New Roman" w:cs="Times New Roman"/>
        </w:rPr>
      </w:pPr>
    </w:p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 Dostawa jednorazowa DMSO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W w:w="5283" w:type="pct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872"/>
        <w:gridCol w:w="851"/>
        <w:gridCol w:w="851"/>
        <w:gridCol w:w="2834"/>
      </w:tblGrid>
      <w:tr w:rsidR="00E97896" w:rsidRPr="007A6095" w:rsidTr="00587FE5">
        <w:trPr>
          <w:trHeight w:val="37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7A6095" w:rsidTr="00AF5F7E">
        <w:trPr>
          <w:trHeight w:val="2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Jałowe 55% DMSO, 5% Dekstran-40, fiolka 7,2-8 ml, produkt do </w:t>
            </w:r>
            <w:proofErr w:type="spellStart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krioprezerwacji</w:t>
            </w:r>
            <w:proofErr w:type="spellEnd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wymagane dostarczenie certyfikatu, termin ważności minimum 8 miesięcy od daty dostarczenia do siedziby zamawiającego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5F7E" w:rsidRPr="007A6095" w:rsidTr="00AF5F7E">
        <w:trPr>
          <w:trHeight w:val="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Jałowe 55% DMSO, 5% Dekstran-40 w objętości 7,2-8 ml, produkt do </w:t>
            </w:r>
            <w:proofErr w:type="spellStart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krioprezerwacji</w:t>
            </w:r>
            <w:proofErr w:type="spellEnd"/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strzykawka wyposażona w zawór regulujący przepływ, zakończona zintegrowanym zgrzanym drenem o długości  min. 15 cm, możliwość sterylnego łączenia  drenów za pomocą zgrzewarek dostępnych na rynku, pakowana pojedynczo, w sterylnym opakowaniu, wymagane dostarczenie certyfikatu, termin ważności minimum 12 miesięcy od daty dostarczenia do siedziby zamawiającego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60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F7E" w:rsidRPr="007A6095" w:rsidRDefault="00AF5F7E" w:rsidP="00E359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312A6" w:rsidRDefault="00C312A6" w:rsidP="00E3595B">
      <w:pPr>
        <w:ind w:right="1"/>
        <w:rPr>
          <w:rFonts w:ascii="Times New Roman" w:hAnsi="Times New Roman" w:cs="Times New Roman"/>
        </w:rPr>
      </w:pPr>
    </w:p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III Dostawa jednorazowa końcówek do pipet</w:t>
      </w:r>
    </w:p>
    <w:p w:rsidR="008C7384" w:rsidRPr="008C7384" w:rsidRDefault="008C7384" w:rsidP="00E3595B">
      <w:pPr>
        <w:ind w:right="1"/>
        <w:rPr>
          <w:rFonts w:ascii="Times New Roman" w:hAnsi="Times New Roman" w:cs="Times New Roman"/>
          <w:sz w:val="20"/>
          <w:szCs w:val="20"/>
        </w:rPr>
      </w:pPr>
      <w:r w:rsidRPr="008C7384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850"/>
        <w:gridCol w:w="851"/>
        <w:gridCol w:w="2835"/>
      </w:tblGrid>
      <w:tr w:rsidR="00E97896" w:rsidRPr="00C312A6" w:rsidTr="00587F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 xml:space="preserve">Opis oferowanego przedmiotu zamówienia: producent, numer </w:t>
            </w: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lastRenderedPageBreak/>
              <w:t>katalogowy, cena jednostkowa netto, cena jednostkowa brutto</w:t>
            </w:r>
          </w:p>
        </w:tc>
      </w:tr>
      <w:tr w:rsidR="00AF5F7E" w:rsidRPr="00C312A6" w:rsidTr="00AF5F7E">
        <w:trPr>
          <w:trHeight w:val="1155"/>
        </w:trPr>
        <w:tc>
          <w:tcPr>
            <w:tcW w:w="851" w:type="dxa"/>
          </w:tcPr>
          <w:p w:rsidR="00AF5F7E" w:rsidRPr="00C312A6" w:rsidRDefault="00AF5F7E" w:rsidP="00AF5F7E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3828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do pipet o pojemności 1-200 µl. Końcówki pakowane po ok. 100 szt.(±5szt.) w opakowaniu/pudełku;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oraz pudełka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autoklawowalne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wolne od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DNaz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i pirogenów, bezbarwne, bez filtra;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Kompatybilne z pipetami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plus.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Termin przydatności minimum 2 lata od daty dostarczenia do siedziby zamawiającego.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F7E" w:rsidRPr="00C312A6" w:rsidTr="00AF5F7E">
        <w:trPr>
          <w:trHeight w:val="165"/>
        </w:trPr>
        <w:tc>
          <w:tcPr>
            <w:tcW w:w="851" w:type="dxa"/>
          </w:tcPr>
          <w:p w:rsidR="00AF5F7E" w:rsidRPr="00C312A6" w:rsidRDefault="00AF5F7E" w:rsidP="00AF5F7E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do pipet o pojemności 100-1000 µl, Końcówki pakowane po ok. 100 szt.(±5szt.)  w opakowaniu/pudełku;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oraz pudełka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autoklawowalne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wolne od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DNaz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i pirogenów, bezbarwne, bez filtra; 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Kompatybilne z pipetami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plus.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Termin przydatności minimum 2 lata od daty dostarczenia do siedziby zamawiającego.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312A6" w:rsidRDefault="00C312A6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IV Dostawa jednorazowa końcówek do pipet oraz probówek reakcyjnych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6"/>
        <w:gridCol w:w="4145"/>
        <w:gridCol w:w="850"/>
        <w:gridCol w:w="851"/>
        <w:gridCol w:w="2835"/>
      </w:tblGrid>
      <w:tr w:rsidR="00E97896" w:rsidRPr="00C312A6" w:rsidTr="00587FE5">
        <w:trPr>
          <w:trHeight w:val="3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C312A6" w:rsidTr="00AF5F7E">
        <w:trPr>
          <w:trHeight w:val="20"/>
        </w:trPr>
        <w:tc>
          <w:tcPr>
            <w:tcW w:w="676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45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Końcówki o  pojemności 50 ml, kompatybilne z pipetami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EppendorfMultipettes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(pipety będące na wyposażeniu Zamawiającego to model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EppendorfMultipetteXstream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), o podstawowym stopniu czystości typu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EppendorfQuality</w:t>
            </w:r>
            <w:proofErr w:type="spellEnd"/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F7E" w:rsidRPr="00C312A6" w:rsidTr="00AF5F7E">
        <w:trPr>
          <w:trHeight w:val="20"/>
        </w:trPr>
        <w:tc>
          <w:tcPr>
            <w:tcW w:w="676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45" w:type="dxa"/>
          </w:tcPr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Probówki reakcyjne do biologii molekularnej typu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Eppendorf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o pojemności 2 ml, bezbarwne, wolne od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RNaz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DNaz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 xml:space="preserve">, z zabezpieczeniem typu </w:t>
            </w:r>
            <w:proofErr w:type="spellStart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Safe</w:t>
            </w:r>
            <w:proofErr w:type="spellEnd"/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-Lock oraz z płaskim, matowym wieczkiem umożliwiającym oznaczanie prób, pozwalające na mrożenie w temp. ok. -80°C, podlegające sterylizacji termicznej (121°C). Na etapie składania ofert wymagane jest dostarczenie ulotki/informacji od producenta lub opisu potwierdzającego, że oferowany towar spełnia wszystkie w/w wymagania. Termin ważności produktu: minimum 3 lata od daty dostarczenia do siedziby Zamawiającego. Wymagane dostarczenie odpowiednich certyfikatów kontroli jakości kontroli jakości dla każdej serii produktu w momencie dostawy.</w:t>
            </w:r>
          </w:p>
          <w:p w:rsidR="00AF5F7E" w:rsidRPr="00C312A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51" w:type="dxa"/>
            <w:vAlign w:val="center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2A6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835" w:type="dxa"/>
          </w:tcPr>
          <w:p w:rsidR="00AF5F7E" w:rsidRPr="00C312A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12A6" w:rsidRDefault="00C312A6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0B32C2" w:rsidRDefault="000B32C2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V Dostawa jednorazowa probówek typu </w:t>
      </w:r>
      <w:proofErr w:type="spellStart"/>
      <w:r>
        <w:rPr>
          <w:rFonts w:ascii="Times New Roman" w:hAnsi="Times New Roman" w:cs="Times New Roman"/>
        </w:rPr>
        <w:t>Falcon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7"/>
        <w:gridCol w:w="4014"/>
        <w:gridCol w:w="850"/>
        <w:gridCol w:w="851"/>
        <w:gridCol w:w="2835"/>
      </w:tblGrid>
      <w:tr w:rsidR="00E97896" w:rsidRPr="00ED54C6" w:rsidTr="00587FE5">
        <w:trPr>
          <w:trHeight w:val="37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lastRenderedPageBreak/>
              <w:t>Lp.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ED54C6" w:rsidTr="00AF5F7E">
        <w:tc>
          <w:tcPr>
            <w:tcW w:w="807" w:type="dxa"/>
          </w:tcPr>
          <w:p w:rsidR="00AF5F7E" w:rsidRPr="00ED54C6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4C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014" w:type="dxa"/>
          </w:tcPr>
          <w:p w:rsidR="00AF5F7E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Probówki typu falkon, o pojemności 15 ml, sterylne z nakrętkami,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stożkowodenne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z podziałką, o wymiarach ok. 17x120 mm. Termin ważności produktu: minimum 3 lata od daty dostarczenia do siedziby Zamawiającego.</w:t>
            </w:r>
          </w:p>
          <w:p w:rsidR="00AF5F7E" w:rsidRPr="00ED54C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5F7E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AF5F7E" w:rsidRPr="00ED54C6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sztuk</w:t>
            </w:r>
          </w:p>
        </w:tc>
        <w:tc>
          <w:tcPr>
            <w:tcW w:w="2835" w:type="dxa"/>
          </w:tcPr>
          <w:p w:rsidR="00AF5F7E" w:rsidRDefault="00AF5F7E" w:rsidP="00E3595B">
            <w:pPr>
              <w:ind w:righ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32C2" w:rsidRDefault="000B32C2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VI Dostawa jednorazowa testów do sterylizacji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7"/>
        <w:gridCol w:w="4014"/>
        <w:gridCol w:w="850"/>
        <w:gridCol w:w="851"/>
        <w:gridCol w:w="2835"/>
      </w:tblGrid>
      <w:tr w:rsidR="00E97896" w:rsidRPr="00DB748A" w:rsidTr="00587FE5">
        <w:trPr>
          <w:trHeight w:val="47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Wieloparametrowy wskaźnik do kontroli sterylizacji parą wodną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proofErr w:type="spellStart"/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Bowie&amp;Dick</w:t>
            </w:r>
            <w:proofErr w:type="spellEnd"/>
            <w:r w:rsidRPr="00DB748A">
              <w:rPr>
                <w:rFonts w:ascii="Times New Roman" w:hAnsi="Times New Roman" w:cs="Times New Roman"/>
                <w:sz w:val="20"/>
                <w:szCs w:val="20"/>
              </w:rPr>
              <w:t xml:space="preserve"> przeznaczony do kontroli usuwania powietrza i penetracji pary w sterylizatorach parowych. Termin ważności minimum 24 m-ce od daty dostarczenia do Zamawiającego.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4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VII Dostawa sukcesywna podłoży mikrobiologicznych oraz zestawu do barwienia </w:t>
      </w:r>
      <w:proofErr w:type="spellStart"/>
      <w:r>
        <w:rPr>
          <w:rFonts w:ascii="Times New Roman" w:hAnsi="Times New Roman" w:cs="Times New Roman"/>
        </w:rPr>
        <w:t>Gramma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7"/>
        <w:gridCol w:w="4014"/>
        <w:gridCol w:w="850"/>
        <w:gridCol w:w="851"/>
        <w:gridCol w:w="2835"/>
      </w:tblGrid>
      <w:tr w:rsidR="00E97896" w:rsidRPr="00DB748A" w:rsidTr="00587FE5">
        <w:trPr>
          <w:trHeight w:val="45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Płytki odciskowe do kontroli powierzchni typu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count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tact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wypełnione podłożem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TrypticSoy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Agar z neutralizatorami środków dezynfekcyjnych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Płytki odciskowe do kontroli powierzchni typu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count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tact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wypełnione podłożem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Sabouraud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neutralizatorami środków dezynfekcyjnych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Agar </w:t>
            </w: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Sabouraud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chloramfenikolem gotowe podłoże na płytkach standardowych  (</w:t>
            </w:r>
            <w:r w:rsidRPr="00DB748A"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pl-PL"/>
              </w:rPr>
              <w:t>∅</w:t>
            </w: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90 mm)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TrypticSoy</w:t>
            </w:r>
            <w:proofErr w:type="spellEnd"/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Agar gotowe podłoże na płytkach standardowych (</w:t>
            </w:r>
            <w:r w:rsidRPr="00DB748A"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pl-PL"/>
              </w:rPr>
              <w:t>∅</w:t>
            </w: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90 mm) z neutralizatorami środków dezynfekcyjnych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F7E" w:rsidRPr="00DB748A" w:rsidTr="00AF5F7E">
        <w:tc>
          <w:tcPr>
            <w:tcW w:w="807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DB748A" w:rsidRDefault="00AF5F7E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B7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Kompletny zestaw barwników i odczynników niezbędny do wykonania pełnego barwienia Grama, objętość każdego odczynnika przynajmniej 200 ml lub 2x100 ml</w:t>
            </w:r>
          </w:p>
        </w:tc>
        <w:tc>
          <w:tcPr>
            <w:tcW w:w="850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851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AF5F7E" w:rsidRPr="00DB748A" w:rsidRDefault="00AF5F7E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748A" w:rsidRDefault="00DB748A" w:rsidP="00E3595B">
      <w:pPr>
        <w:ind w:right="1"/>
        <w:rPr>
          <w:rFonts w:ascii="Times New Roman" w:hAnsi="Times New Roman" w:cs="Times New Roman"/>
        </w:rPr>
      </w:pPr>
    </w:p>
    <w:p w:rsidR="00DB748A" w:rsidRDefault="00DB748A" w:rsidP="00E3595B">
      <w:pPr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VIII Dostawa jednorazowa probówek próżniowych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ind w:right="1"/>
        <w:rPr>
          <w:rFonts w:ascii="Times New Roman" w:hAnsi="Times New Roman" w:cs="Times New Roman"/>
        </w:rPr>
      </w:pPr>
    </w:p>
    <w:tbl>
      <w:tblPr>
        <w:tblpPr w:leftFromText="141" w:rightFromText="141" w:vertAnchor="text" w:tblpX="-318"/>
        <w:tblW w:w="1228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7"/>
        <w:gridCol w:w="3979"/>
        <w:gridCol w:w="851"/>
        <w:gridCol w:w="850"/>
        <w:gridCol w:w="2900"/>
        <w:gridCol w:w="2900"/>
      </w:tblGrid>
      <w:tr w:rsidR="00E97896" w:rsidRPr="00052556" w:rsidTr="00E97896">
        <w:trPr>
          <w:trHeight w:val="244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896" w:rsidRPr="00052556" w:rsidTr="00E97896">
        <w:trPr>
          <w:trHeight w:val="244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Pr="00052556" w:rsidRDefault="00E97896" w:rsidP="00E97896">
            <w:pPr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E97896" w:rsidRPr="00052556" w:rsidRDefault="00E97896" w:rsidP="00E97896">
            <w:pPr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5F7E" w:rsidRPr="00052556" w:rsidTr="00E97896"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Probówki próżniowe na skrzep (z aktywatorem wykrzepiania) do zamkniętego systemu poboru krwi obwodowej. Objętość 8-10 ml;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okrągłodenne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;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Igły z adapterem ochronnym   do bezpiecznego poboru 21G x 1 1½  (0.8 x 38 mm) kompatybilne z pozycją 1, 3 i  5;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Probówki próżniowe na skrzep (z aktywatorem wykrzepiania) do zamkniętego systemu poboru krwi obwodowej. Z wykalibrowaną próżnią Objętość 6-8 ml;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okrągłodenne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;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Igła z adapterem do bezpiecznego poboru krwi u dzieci kompatybilna z pozycja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F5F7E" w:rsidRPr="00052556" w:rsidTr="00AF5F7E"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Probówki  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okrągłodenne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do zamkniętego systemu poboru krwi obwodowej, sterylne, z wykalibrowaną próżnią,  z antykoagulantem K2 EDTA, o pojemności 2-3 ml</w:t>
            </w:r>
            <w:r w:rsidR="00CF32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F3262"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termin przydatności minimum 12 miesięcy od daty dostarczenia do siedziby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vAlign w:val="center"/>
            <w:hideMark/>
          </w:tcPr>
          <w:p w:rsidR="00AF5F7E" w:rsidRPr="00052556" w:rsidRDefault="00AF5F7E" w:rsidP="00AF5F7E">
            <w:pPr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052556" w:rsidRDefault="00052556" w:rsidP="00E3595B">
      <w:pPr>
        <w:ind w:right="1"/>
        <w:rPr>
          <w:rFonts w:ascii="Times New Roman" w:hAnsi="Times New Roman" w:cs="Times New Roman"/>
        </w:rPr>
      </w:pPr>
    </w:p>
    <w:p w:rsidR="00052556" w:rsidRPr="00052556" w:rsidRDefault="00052556" w:rsidP="00E3595B">
      <w:pPr>
        <w:ind w:right="1"/>
        <w:rPr>
          <w:rFonts w:ascii="Times New Roman" w:hAnsi="Times New Roman" w:cs="Times New Roman"/>
        </w:rPr>
      </w:pPr>
    </w:p>
    <w:p w:rsidR="00052556" w:rsidRPr="00052556" w:rsidRDefault="00052556" w:rsidP="00E3595B">
      <w:pPr>
        <w:ind w:right="1"/>
        <w:rPr>
          <w:rFonts w:ascii="Times New Roman" w:hAnsi="Times New Roman" w:cs="Times New Roman"/>
        </w:rPr>
      </w:pPr>
    </w:p>
    <w:p w:rsidR="00DB748A" w:rsidRDefault="00052556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IX Dostawa jednorazowa probówko-strzykawek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489"/>
        <w:gridCol w:w="3481"/>
        <w:gridCol w:w="567"/>
        <w:gridCol w:w="674"/>
        <w:gridCol w:w="4111"/>
      </w:tblGrid>
      <w:tr w:rsidR="00E97896" w:rsidRPr="00DB748A" w:rsidTr="00E97896">
        <w:trPr>
          <w:trHeight w:val="45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9E1806" w:rsidRPr="00DB748A" w:rsidTr="00E97896">
        <w:tc>
          <w:tcPr>
            <w:tcW w:w="489" w:type="dxa"/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052556" w:rsidRDefault="009E1806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Probówki neutralne (bez dodatku antykoagulantu, bez aktywatora wykrzepiania) do zamkniętego próżniowego systemu poboru krwi obwodowej. Objętość 1,5-3 ml</w:t>
            </w:r>
            <w:r w:rsidR="00CF32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F3262" w:rsidRPr="00052556">
              <w:rPr>
                <w:rFonts w:ascii="Times New Roman" w:hAnsi="Times New Roman" w:cs="Times New Roman"/>
                <w:sz w:val="18"/>
                <w:szCs w:val="18"/>
              </w:rPr>
              <w:t>termin przydatności minimum 12 miesięcy od daty dostarczenia do siedziby zamawiającego.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806" w:rsidRPr="00DB748A" w:rsidTr="00E97896">
        <w:tc>
          <w:tcPr>
            <w:tcW w:w="489" w:type="dxa"/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052556" w:rsidRDefault="009E1806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Multiadapterem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typu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Sangocan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21G Kompatybilny z pozycją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806" w:rsidRPr="00DB748A" w:rsidTr="00E97896">
        <w:tc>
          <w:tcPr>
            <w:tcW w:w="489" w:type="dxa"/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48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052556" w:rsidRDefault="009E1806" w:rsidP="00E3595B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Probówka do analizy surowicy z aktywatorem wykrzepiania (cząsteczki krzemionki) 10ml do zamkniętego systemu poboru, kompatybilne z igłą/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multiadapterem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typu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Sangocan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21G</w:t>
            </w:r>
            <w:r w:rsidR="00CF32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F3262" w:rsidRPr="00052556">
              <w:rPr>
                <w:rFonts w:ascii="Times New Roman" w:hAnsi="Times New Roman" w:cs="Times New Roman"/>
                <w:sz w:val="18"/>
                <w:szCs w:val="18"/>
              </w:rPr>
              <w:t>termin przydatności minimum 12 miesięcy od daty dostarczenia do siedziby zamawiającego.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DB748A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Default="009E1806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2556" w:rsidRDefault="00052556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52556" w:rsidRDefault="00052556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 Dostawa jednorazowa środków do dezynfekcji 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tbl>
      <w:tblPr>
        <w:tblW w:w="935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397"/>
        <w:gridCol w:w="567"/>
        <w:gridCol w:w="992"/>
        <w:gridCol w:w="3833"/>
      </w:tblGrid>
      <w:tr w:rsidR="00643F8C" w:rsidRPr="00052556" w:rsidTr="00587F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8C" w:rsidRDefault="00643F8C" w:rsidP="00643F8C">
            <w:pPr>
              <w:spacing w:after="160" w:line="240" w:lineRule="auto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Dwa rodzaje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środka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szybkiej dezynfekcji małych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powierzchni, każdy na bazie innych substancji czynnych,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gotowe do użycia. 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 działania dla HIV, HBV i HCV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do 1 minuty. Spek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trum działania: bakteriobójczy,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 grzybobójczy, wirusobójczy (HIV, HBV,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HCV, Adenowir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Vacciniawirus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Poliomawi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opakowanie butelka 1 l ze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spryskiwacz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em, wymagane dostarczenie karty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harakterystyki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oraz certyfikatu od producenta.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400 (200+200)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Środek do dezynfe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kcji i mycia dużych powierzchni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Spektrum działania: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bakteriobójczy,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grzybobójczy, wirusobójczy (HIV, HBV, HCV,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Vacciniaw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Poliomawirus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opakowanie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kanister 5 l z pompką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dozującą, wymagane dostarczenie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karty charakterystyki oraz certyfikatu od producenta.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Środek do dezynfekcji i mycia dużych powierzchni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Spektrum działania: bakteriobójczy,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grzybobójczy, wirusobójczy (HIV, HBV, HCV,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Vacciniawirus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Poliomawirus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), łącznie 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skutecznością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sporobójczą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 opakowanie kanister 5 l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pompką dozującą, wymagane dostarczenie karty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charakterystyki oraz certyfikatu od producenta.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Preparat do szybkiej dezynfekcji rąk w postaci płynu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bazie alkoholu. Spektrum działania: bakteriobójczy,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prątkobójczy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 grzybobójczy, wirusobójczy (HIV, HBV,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HCV, Adenowirus,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Norowirus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Vacciniawirus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Poliomawirus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), opakowanie kanister 5 l, wymagane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dostarczenie karty charakterystyki oraz certyfikatu 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producenta.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Preparat na bazie nadwęglanu sodu do manualnego mycia i dezynfekcji narzędzi medycznych. Opakowanie 1,5 kg.        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Środek do dezynfekcji powierzchni, antykorozyjny, koncentrat o pojemności 1l. Czas działania w 5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minut:spory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(Clostridium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Clostridium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perfringens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Bacillus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 cereus i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Bacillussubtilis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), bakterie, wirusy (Polio,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Adeno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, HIV, HBV, HCV), grzyby, drożdże, </w:t>
            </w:r>
            <w:proofErr w:type="spellStart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pratki</w:t>
            </w:r>
            <w:proofErr w:type="spellEnd"/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. Niezawierający w swoim składzie chloru, aldehydów, alkoholi, kwasu nadoctowego. wymagane dostarczenie karty charakterystyki oraz certyfikatu od producenta.      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585647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564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585647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 xml:space="preserve">Preparat do odkażania skóry przed iniekcjami, punkcjami i zabiegami. Produkt  złożony, zawierający substancje czynne o udowodnionej skuteczności klinicznej. Posiadający w składzie: </w:t>
            </w:r>
            <w:proofErr w:type="spellStart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>izopropanol</w:t>
            </w:r>
            <w:proofErr w:type="spellEnd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 xml:space="preserve">, etanol i alkohol benzylowy, które wzajemnie uzupełniają swój zakres działania, zapewniając szerokie spektrum </w:t>
            </w:r>
            <w:proofErr w:type="spellStart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>bójcze</w:t>
            </w:r>
            <w:proofErr w:type="spellEnd"/>
            <w:r w:rsidRPr="00585647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  <w:t xml:space="preserve"> o działaniu przedłużonym. Gotowy do użycia, butelka z atomizerem, pojemność ok 350 ml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052556" w:rsidTr="0070591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1A" w:rsidRPr="00052556" w:rsidRDefault="0070591A" w:rsidP="00E3595B">
            <w:pPr>
              <w:pStyle w:val="NormalnyWeb"/>
              <w:shd w:val="clear" w:color="auto" w:fill="FFFFFF"/>
              <w:spacing w:before="0" w:beforeAutospacing="0" w:after="0" w:afterAutospacing="0"/>
              <w:ind w:right="1"/>
              <w:jc w:val="both"/>
              <w:rPr>
                <w:sz w:val="18"/>
                <w:szCs w:val="18"/>
                <w:lang w:eastAsia="en-US"/>
              </w:rPr>
            </w:pPr>
            <w:r w:rsidRPr="00052556">
              <w:rPr>
                <w:sz w:val="18"/>
                <w:szCs w:val="18"/>
                <w:lang w:eastAsia="en-US"/>
              </w:rPr>
              <w:t xml:space="preserve">Pielęgnująca emulsja do wrażliwej i narażonej na zniszczenie skóry dłoni. Skutecznie nawilża, chroni i regeneruje. Pojemność 500 ml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556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591A" w:rsidRPr="00052556" w:rsidRDefault="0070591A" w:rsidP="00E3595B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2556" w:rsidRDefault="00052556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643F8C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 Dostawa jednorazowa rękawic kriogenicznych</w:t>
      </w:r>
    </w:p>
    <w:p w:rsidR="008C7384" w:rsidRDefault="008C7384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911"/>
        <w:gridCol w:w="790"/>
        <w:gridCol w:w="2726"/>
      </w:tblGrid>
      <w:tr w:rsidR="00CA54ED" w:rsidTr="00CA5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CA54ED" w:rsidTr="00CA54ED">
        <w:tc>
          <w:tcPr>
            <w:tcW w:w="817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CA54ED" w:rsidRPr="00EA17B5" w:rsidRDefault="00CA54ED" w:rsidP="00CA54ED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EA17B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Rękawice kriogeniczne do pracy w parach ciekłego azotu </w:t>
            </w:r>
            <w:r w:rsidRPr="00EA17B5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8F8F8"/>
              </w:rPr>
              <w:t>(-196°C)</w:t>
            </w:r>
            <w:r w:rsidRPr="00EA17B5">
              <w:rPr>
                <w:rFonts w:ascii="Times New Roman" w:eastAsia="Times New Roman" w:hAnsi="Times New Roman"/>
                <w:color w:val="222222"/>
                <w:sz w:val="16"/>
                <w:szCs w:val="16"/>
              </w:rPr>
              <w:t xml:space="preserve"> . </w:t>
            </w:r>
            <w:r w:rsidRPr="00EA17B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Tekstylne, pięciopalcowe, zapewniające ochronę przedramienia i łokcia (długość ok. 50 cm). Posiadające znak CE i spełniające normy: EN 511, EN 388 (parametry mechaniczne: 1-3-2-3), EN 420. Rozmiar: M/9</w:t>
            </w:r>
          </w:p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para</w:t>
            </w:r>
          </w:p>
        </w:tc>
        <w:tc>
          <w:tcPr>
            <w:tcW w:w="790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6" w:type="dxa"/>
          </w:tcPr>
          <w:p w:rsidR="00CA54ED" w:rsidRDefault="00CA54ED" w:rsidP="00E3595B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</w:tbl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0"/>
        </w:tabs>
        <w:spacing w:after="0"/>
        <w:ind w:right="1"/>
        <w:rPr>
          <w:rFonts w:ascii="Times New Roman" w:hAnsi="Times New Roman" w:cs="Times New Roman"/>
        </w:rPr>
      </w:pPr>
    </w:p>
    <w:p w:rsidR="00CA54ED" w:rsidRDefault="00CA54ED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XII Dostawa jednorazowa środka do dezynfekcji skóry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69"/>
        <w:gridCol w:w="790"/>
        <w:gridCol w:w="2726"/>
      </w:tblGrid>
      <w:tr w:rsidR="00CA54ED" w:rsidTr="00CA54ED">
        <w:tc>
          <w:tcPr>
            <w:tcW w:w="675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828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Opis przedmiotu zamówienia</w:t>
            </w:r>
          </w:p>
        </w:tc>
        <w:tc>
          <w:tcPr>
            <w:tcW w:w="769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90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2726" w:type="dxa"/>
          </w:tcPr>
          <w:p w:rsidR="00CA54ED" w:rsidRPr="00AE7677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E97896" w:rsidTr="00CA54ED">
        <w:tc>
          <w:tcPr>
            <w:tcW w:w="675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E97896" w:rsidRPr="00CA54ED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CA54ED">
              <w:rPr>
                <w:rFonts w:ascii="Times New Roman" w:hAnsi="Times New Roman" w:cs="Times New Roman"/>
                <w:sz w:val="18"/>
                <w:szCs w:val="18"/>
              </w:rPr>
              <w:t>Płyn do dezynfekcji i odkażania skóry o działaniu przeciwbakteryjnym, nie zawierający w składzie alkoholu, pojemność do 10 ml, termin przydatności minimum 2 lata od daty dostarczenia.</w:t>
            </w:r>
          </w:p>
        </w:tc>
        <w:tc>
          <w:tcPr>
            <w:tcW w:w="769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90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26" w:type="dxa"/>
          </w:tcPr>
          <w:p w:rsidR="00E97896" w:rsidRDefault="00E97896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</w:tbl>
    <w:p w:rsidR="00E97896" w:rsidRDefault="00E97896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E97896" w:rsidRDefault="00E97896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EE1719" w:rsidRDefault="00EE1719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XIII Dostawa jednorazowa odczynników do BD Phoenix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="-39" w:tblpY="217"/>
        <w:tblW w:w="4939" w:type="pct"/>
        <w:tblLayout w:type="fixed"/>
        <w:tblLook w:val="04A0" w:firstRow="1" w:lastRow="0" w:firstColumn="1" w:lastColumn="0" w:noHBand="0" w:noVBand="1"/>
      </w:tblPr>
      <w:tblGrid>
        <w:gridCol w:w="686"/>
        <w:gridCol w:w="4385"/>
        <w:gridCol w:w="566"/>
        <w:gridCol w:w="709"/>
        <w:gridCol w:w="2410"/>
      </w:tblGrid>
      <w:tr w:rsidR="0070591A" w:rsidRPr="0003249C" w:rsidTr="00CA54ED">
        <w:tc>
          <w:tcPr>
            <w:tcW w:w="392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504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Opis przedmiotu zamówienia</w:t>
            </w:r>
          </w:p>
        </w:tc>
        <w:tc>
          <w:tcPr>
            <w:tcW w:w="323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405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376" w:type="pct"/>
          </w:tcPr>
          <w:p w:rsidR="0070591A" w:rsidRPr="00AE7677" w:rsidRDefault="0070591A" w:rsidP="00AE7677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7677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03249C" w:rsidTr="00CA54ED">
        <w:tc>
          <w:tcPr>
            <w:tcW w:w="392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04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Panel PMIC/ID-88 do identyfikacji i oznaczania </w:t>
            </w:r>
            <w:proofErr w:type="spellStart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lekowrażliwośi</w:t>
            </w:r>
            <w:proofErr w:type="spellEnd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bakterii gram-dodatnich, dedykowany do aparatu BD Phoenix lub równoważny</w:t>
            </w:r>
          </w:p>
        </w:tc>
        <w:tc>
          <w:tcPr>
            <w:tcW w:w="323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405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76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0591A" w:rsidRPr="0003249C" w:rsidTr="00CA54ED">
        <w:tc>
          <w:tcPr>
            <w:tcW w:w="392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04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Bulion ID do identyfikacji, w zakręcanych probówkach o pojemności 4,5 ml (zmodyfikowany roztwór soli) do sporządzania zawiesiny bakterii do testu identyfikacji, dedykowany do aparatu BD Phoenix lub równoważny</w:t>
            </w:r>
          </w:p>
        </w:tc>
        <w:tc>
          <w:tcPr>
            <w:tcW w:w="323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405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76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0591A" w:rsidRPr="0003249C" w:rsidTr="00CA54ED">
        <w:tc>
          <w:tcPr>
            <w:tcW w:w="392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04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Bulion AST do antybiogramów, w zakręcanych probówkach o pojemności 8,0 ml (zmodyfikowane płynne podłoże Mueller-</w:t>
            </w:r>
            <w:proofErr w:type="spellStart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Hinton</w:t>
            </w:r>
            <w:proofErr w:type="spellEnd"/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który po dodaniu wskaźnika AST i zawiesiny bakteryjnej służy do testu wrażliwości na antybiotyki, dedykowany do aparatu BD Phoenix lub równoważny</w:t>
            </w:r>
          </w:p>
        </w:tc>
        <w:tc>
          <w:tcPr>
            <w:tcW w:w="323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405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76" w:type="pct"/>
          </w:tcPr>
          <w:p w:rsidR="0070591A" w:rsidRPr="0003249C" w:rsidRDefault="0070591A" w:rsidP="00E3595B">
            <w:pPr>
              <w:ind w:right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EE1719" w:rsidRDefault="00EE1719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XIV Dostawa jednorazowa zestawów do izolacji DNA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lastRenderedPageBreak/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708"/>
        <w:gridCol w:w="617"/>
        <w:gridCol w:w="2371"/>
      </w:tblGrid>
      <w:tr w:rsidR="0070591A" w:rsidTr="0070591A">
        <w:tc>
          <w:tcPr>
            <w:tcW w:w="675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395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  <w:tc>
          <w:tcPr>
            <w:tcW w:w="708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j.m.</w:t>
            </w:r>
          </w:p>
        </w:tc>
        <w:tc>
          <w:tcPr>
            <w:tcW w:w="606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2371" w:type="dxa"/>
          </w:tcPr>
          <w:p w:rsidR="0070591A" w:rsidRPr="00CA54ED" w:rsidRDefault="0070591A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Tr="0070591A">
        <w:tc>
          <w:tcPr>
            <w:tcW w:w="675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24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Zestaw do izolacji genomowego DNA metodą grawitacyjną bez użycia wirówki z krwi świeżej lub mrożonej, wielkość próbki: 20-100 µl; roztwory do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elucji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: bufor o wysokim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, bez precypitacji etanolem, DNA gotowy do użycia bezpośrednio po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elucji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 xml:space="preserve">, dostarczany wraz z proteinazą K gotową do użycia; zestaw z minimalną datą ważności równą rok od daty dostarczenia do siedziby zamawiającego; nr katalogowy zestawu A&amp;A </w:t>
            </w:r>
            <w:proofErr w:type="spellStart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Biotechnology</w:t>
            </w:r>
            <w:proofErr w:type="spellEnd"/>
            <w:r w:rsidRPr="0003249C">
              <w:rPr>
                <w:rFonts w:ascii="Times New Roman" w:hAnsi="Times New Roman" w:cs="Times New Roman"/>
                <w:sz w:val="18"/>
                <w:szCs w:val="18"/>
              </w:rPr>
              <w:t>: 101-100 lub równoważny. Opakowanie 100 izolacji</w:t>
            </w:r>
          </w:p>
        </w:tc>
        <w:tc>
          <w:tcPr>
            <w:tcW w:w="708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249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606" w:type="dxa"/>
          </w:tcPr>
          <w:p w:rsidR="0070591A" w:rsidRPr="0003249C" w:rsidRDefault="00CA54ED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1" w:type="dxa"/>
          </w:tcPr>
          <w:p w:rsidR="0070591A" w:rsidRPr="0003249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03249C" w:rsidRDefault="0003249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XV Jednorazowa dostawa odczynników do biologii molekularnej 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867"/>
        <w:gridCol w:w="617"/>
        <w:gridCol w:w="2261"/>
      </w:tblGrid>
      <w:tr w:rsidR="00CA54ED" w:rsidTr="0070591A">
        <w:tc>
          <w:tcPr>
            <w:tcW w:w="675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395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  <w:tc>
          <w:tcPr>
            <w:tcW w:w="867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j.m.</w:t>
            </w:r>
          </w:p>
        </w:tc>
        <w:tc>
          <w:tcPr>
            <w:tcW w:w="557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2261" w:type="dxa"/>
          </w:tcPr>
          <w:p w:rsidR="00CA54ED" w:rsidRPr="00CA54ED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54ED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Bufor TBE 10x do elektroforezy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Bufor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Tris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-HCL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Woda do biologii molekularnej Wolna od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DNaz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RNaz</w:t>
            </w:r>
            <w:proofErr w:type="spellEnd"/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Agaroza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 biologii molekularnej; </w:t>
            </w: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proszku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shd w:val="clear" w:color="auto" w:fill="FFFFFF"/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Bufor obciążający do nanoszenia na żel do elektroforezy 6x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Ok. 10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Bufor TE 1X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8; do biologii molekularnej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Marker do elektroforezy Od ok 100pz do ok. 1000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aplikacja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Barwnik do wizualizacji kwasów nukleinowych w żelu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agarozowym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w świetle UV (inny niż bromek </w:t>
            </w:r>
            <w:proofErr w:type="spellStart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etydyny</w:t>
            </w:r>
            <w:proofErr w:type="spellEnd"/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aplikacja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Tr="0070591A">
        <w:tc>
          <w:tcPr>
            <w:tcW w:w="675" w:type="dxa"/>
          </w:tcPr>
          <w:p w:rsidR="0070591A" w:rsidRPr="00B20BFC" w:rsidRDefault="0070591A" w:rsidP="00E3595B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395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Etanol CZDA 95%-98%</w:t>
            </w:r>
          </w:p>
        </w:tc>
        <w:tc>
          <w:tcPr>
            <w:tcW w:w="86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57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20B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15 </w:t>
            </w:r>
          </w:p>
        </w:tc>
        <w:tc>
          <w:tcPr>
            <w:tcW w:w="2261" w:type="dxa"/>
          </w:tcPr>
          <w:p w:rsidR="0070591A" w:rsidRPr="00B20BFC" w:rsidRDefault="0070591A" w:rsidP="00E3595B">
            <w:pPr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E7677" w:rsidRDefault="00AE7677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AE7677" w:rsidRDefault="00AE7677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XVI Jednorazowa dostawa zestawów do automatycznej preparatyki krwi pępowinowej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241"/>
        <w:tblW w:w="5258" w:type="pct"/>
        <w:tblLayout w:type="fixed"/>
        <w:tblLook w:val="04A0" w:firstRow="1" w:lastRow="0" w:firstColumn="1" w:lastColumn="0" w:noHBand="0" w:noVBand="1"/>
      </w:tblPr>
      <w:tblGrid>
        <w:gridCol w:w="536"/>
        <w:gridCol w:w="4537"/>
        <w:gridCol w:w="848"/>
        <w:gridCol w:w="708"/>
        <w:gridCol w:w="2692"/>
      </w:tblGrid>
      <w:tr w:rsidR="0070591A" w:rsidRPr="00B20BFC" w:rsidTr="0070591A">
        <w:trPr>
          <w:trHeight w:val="744"/>
        </w:trPr>
        <w:tc>
          <w:tcPr>
            <w:tcW w:w="287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lastRenderedPageBreak/>
              <w:t>Lp.</w:t>
            </w:r>
          </w:p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</w:p>
        </w:tc>
        <w:tc>
          <w:tcPr>
            <w:tcW w:w="2433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455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380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1444" w:type="pct"/>
          </w:tcPr>
          <w:p w:rsidR="0070591A" w:rsidRPr="00B20BFC" w:rsidRDefault="0070591A" w:rsidP="00E3595B">
            <w:pPr>
              <w:spacing w:after="160"/>
              <w:ind w:right="1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B20BFC" w:rsidTr="0070591A">
        <w:trPr>
          <w:trHeight w:val="2369"/>
        </w:trPr>
        <w:tc>
          <w:tcPr>
            <w:tcW w:w="287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1.</w:t>
            </w:r>
          </w:p>
        </w:tc>
        <w:tc>
          <w:tcPr>
            <w:tcW w:w="2433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color w:val="FF0000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sz w:val="18"/>
                <w:szCs w:val="18"/>
              </w:rPr>
              <w:t xml:space="preserve">Zestaw do sterylnej preparatyki komórek macierzystych krwi pępowinowej w układzie zamkniętym. Każdy zestaw powinien być sterylny. Powinien składać się z komory separacyjnej- </w:t>
            </w:r>
            <w:proofErr w:type="spellStart"/>
            <w:r w:rsidRPr="00B20BFC">
              <w:rPr>
                <w:rFonts w:ascii="Times New Roman" w:hAnsi="Times New Roman"/>
                <w:sz w:val="18"/>
                <w:szCs w:val="18"/>
              </w:rPr>
              <w:t>strzykawkowej</w:t>
            </w:r>
            <w:proofErr w:type="spellEnd"/>
            <w:r w:rsidRPr="00B20BFC">
              <w:rPr>
                <w:rFonts w:ascii="Times New Roman" w:hAnsi="Times New Roman"/>
                <w:sz w:val="18"/>
                <w:szCs w:val="18"/>
              </w:rPr>
              <w:t xml:space="preserve"> o pojemności co najmniej 220ml +/-5% do której trafia materiał wejściowy i na zasadzie wirowania i odpowiedniego frakcjonowania a następnie transferu frakcji krwi, zapewnia preparatykę komórek macierzystych do formatu worka kriogenicznego o pojemności całkowitej 25 ml+/-5%, składającego się z dwóch części : 5 ml i 20ml. Zestaw powinien być kompatybilny z instrumentem Sepax-2. Wymagane dostarczenie certyfikatu. Data ważności minimum 12 m-</w:t>
            </w:r>
            <w:proofErr w:type="spellStart"/>
            <w:r w:rsidRPr="00B20BFC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 w:rsidRPr="00B20BFC">
              <w:rPr>
                <w:rFonts w:ascii="Times New Roman" w:hAnsi="Times New Roman"/>
                <w:sz w:val="18"/>
                <w:szCs w:val="18"/>
              </w:rPr>
              <w:t xml:space="preserve"> od dnia dostarczenia do Zamawiającego.</w:t>
            </w:r>
          </w:p>
        </w:tc>
        <w:tc>
          <w:tcPr>
            <w:tcW w:w="455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Szt.</w:t>
            </w:r>
          </w:p>
        </w:tc>
        <w:tc>
          <w:tcPr>
            <w:tcW w:w="380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12</w:t>
            </w:r>
          </w:p>
        </w:tc>
        <w:tc>
          <w:tcPr>
            <w:tcW w:w="1444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  <w:tr w:rsidR="0070591A" w:rsidRPr="00B20BFC" w:rsidTr="0070591A">
        <w:trPr>
          <w:trHeight w:val="961"/>
        </w:trPr>
        <w:tc>
          <w:tcPr>
            <w:tcW w:w="287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2.</w:t>
            </w:r>
          </w:p>
        </w:tc>
        <w:tc>
          <w:tcPr>
            <w:tcW w:w="2433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sz w:val="18"/>
                <w:szCs w:val="18"/>
              </w:rPr>
              <w:t>Sterylne zestawy  przyłączeniowe, łączące strzykawki wypełnione DMSO z pompami perystaltycznymi urządzenia. Zestawy powinny być kompatybilne z instrumentem Smart-Max. Wymagane dostarczenie certyfikatu. Data ważności minimum 12 m-</w:t>
            </w:r>
            <w:proofErr w:type="spellStart"/>
            <w:r w:rsidRPr="00B20BFC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 w:rsidRPr="00B20BFC">
              <w:rPr>
                <w:rFonts w:ascii="Times New Roman" w:hAnsi="Times New Roman"/>
                <w:sz w:val="18"/>
                <w:szCs w:val="18"/>
              </w:rPr>
              <w:t xml:space="preserve"> od dnia dostarczenia do Zamawiającego.</w:t>
            </w:r>
          </w:p>
        </w:tc>
        <w:tc>
          <w:tcPr>
            <w:tcW w:w="455" w:type="pct"/>
          </w:tcPr>
          <w:p w:rsidR="0070591A" w:rsidRPr="00B20BFC" w:rsidRDefault="0070591A" w:rsidP="00E3595B">
            <w:pPr>
              <w:spacing w:after="480"/>
              <w:ind w:right="1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Szt.</w:t>
            </w:r>
          </w:p>
        </w:tc>
        <w:tc>
          <w:tcPr>
            <w:tcW w:w="380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B20BFC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24</w:t>
            </w:r>
          </w:p>
        </w:tc>
        <w:tc>
          <w:tcPr>
            <w:tcW w:w="1444" w:type="pct"/>
          </w:tcPr>
          <w:p w:rsidR="0070591A" w:rsidRPr="00B20BFC" w:rsidRDefault="0070591A" w:rsidP="00E3595B">
            <w:pPr>
              <w:spacing w:after="480"/>
              <w:ind w:right="1"/>
              <w:jc w:val="center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</w:tbl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70591A" w:rsidRDefault="0070591A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XVII Jednorazowa dostawa odczynników do analizatora Accent-200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992"/>
        <w:gridCol w:w="709"/>
        <w:gridCol w:w="2693"/>
      </w:tblGrid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2693" w:type="dxa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Zestaw Accent-200 CHOL niezbędny do oznaczenia stężenia cholesterolu całkowitego lub równoważny 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oznaczeń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Zestaw Accent-200 HDL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niezbędny do oznaczenia stężenia cholesterolu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HDL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lub równoważny 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/500oznaczeń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Zestaw Accent-200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TG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niezbędny do oznaczenia stężenia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trójglicerydów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lub równoważny 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oznaczeń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Materiał kontrolny, surowica kontrolna SERUM HN lub równoważna dedykowana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Materiał kontrolny, surowica kontrolna SERUM HP lub równoważna dedykowana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Kalibrator HDL/LDL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Kalibrator,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Multikalibrator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Level 1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Kalibrator,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Multikalibrator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Level 2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Roztwór czyszczący,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AcidWashing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Solution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Roztwór czyszczący,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AlkalineWashing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Solution lub równoważny 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dedykowany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91A" w:rsidRPr="00E13913" w:rsidTr="0070591A"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111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Kuwety reakcyjne, jednorazowe kuwety pomiarowe lub równoważne dedykowane</w:t>
            </w:r>
            <w:r w:rsidRPr="00E13913">
              <w:rPr>
                <w:rFonts w:ascii="Times New Roman" w:hAnsi="Times New Roman" w:cs="Times New Roman"/>
                <w:sz w:val="18"/>
                <w:szCs w:val="18"/>
              </w:rPr>
              <w:t xml:space="preserve"> do analizatora biochemicznego Accent-200</w:t>
            </w:r>
          </w:p>
        </w:tc>
        <w:tc>
          <w:tcPr>
            <w:tcW w:w="992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Op./2500 szt.</w:t>
            </w:r>
          </w:p>
        </w:tc>
        <w:tc>
          <w:tcPr>
            <w:tcW w:w="709" w:type="dxa"/>
            <w:vAlign w:val="center"/>
          </w:tcPr>
          <w:p w:rsidR="0070591A" w:rsidRPr="00E13913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70591A" w:rsidRDefault="0070591A" w:rsidP="00E3595B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70591A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XVIII Jednorazowa dostawa pojemników z roztworem HES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46"/>
        <w:gridCol w:w="1758"/>
        <w:gridCol w:w="1758"/>
      </w:tblGrid>
      <w:tr w:rsidR="00CA54ED" w:rsidTr="00587FE5">
        <w:tc>
          <w:tcPr>
            <w:tcW w:w="534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546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1758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758" w:type="dxa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CA54ED" w:rsidTr="00CA54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ind w:right="1"/>
              <w:jc w:val="center"/>
            </w:pPr>
            <w:r w:rsidRPr="00467BF5"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Pojemnik z roztworem HES do  laboratoryjnej preparatyki krwi; jeden pojemnik to układ dwóch worków połączonych; pojemnik zawierający 35 ml płynu o składzie: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Hydroksyetyloskrobia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6,0 g, chlorek sodu 0,9 g, woda do iniekcji do 100 ml. Pojemnik z roztworem HES wykonany z PCW, jednorazowego użytku, sterylny, nietoksyczny,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apirogenny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; Masa cząsteczkowa 450,000 D. Możliwość wykonywania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zgrzewów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na zgrzewarce do jałowego łączenia drenów dostępnych na rynku;  wymagane dostarczenie certyfikatu, termin ważności minimum 12 miesięcy od daty dostarczenia do siedziby zamawiającego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D" w:rsidRPr="00B20BFC" w:rsidRDefault="00CA54ED" w:rsidP="00CA54ED">
            <w:pPr>
              <w:spacing w:after="160" w:line="259" w:lineRule="auto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  <w:p w:rsidR="00CA54ED" w:rsidRPr="00B20BFC" w:rsidRDefault="00CA54ED" w:rsidP="00CA54ED">
            <w:pPr>
              <w:spacing w:after="160" w:line="259" w:lineRule="auto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ind w:right="1"/>
              <w:jc w:val="center"/>
            </w:pPr>
          </w:p>
          <w:p w:rsidR="00CA54ED" w:rsidRPr="00467BF5" w:rsidRDefault="00CA54ED" w:rsidP="00CA54ED">
            <w:pPr>
              <w:spacing w:after="160" w:line="259" w:lineRule="auto"/>
              <w:ind w:right="1"/>
              <w:jc w:val="center"/>
            </w:pPr>
            <w:r w:rsidRPr="00467BF5">
              <w:t>120</w:t>
            </w:r>
          </w:p>
        </w:tc>
        <w:tc>
          <w:tcPr>
            <w:tcW w:w="1758" w:type="dxa"/>
          </w:tcPr>
          <w:p w:rsidR="00CA54ED" w:rsidRDefault="00CA54ED" w:rsidP="00CA54ED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  <w:tr w:rsidR="00CA54ED" w:rsidTr="00CA54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jc w:val="center"/>
            </w:pPr>
            <w:r w:rsidRPr="00467BF5"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Pojemnik z roztworem HES do  laboratoryjnej preparatyki krwi; jeden pojemnik to układ dwóch worków połączonych; pojemnik zawierający 55 ml płynu o składzie: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Hydroksyetyloskrobia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6,0 g, chlorek sodu 0,9 g, woda do iniekcji do 100 ml. Pojemnik z roztworem HES wykonany z PCW, jednorazowego użytku, sterylny, nietoksyczny,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apirogenny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; Masa cząsteczkowa 450,000 D. Możliwość wykonywania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zgrzewów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na zgrzewarce do jałowego łączenia drenów dostępnych na rynku;  wymagane dostarczenie certyfikatu, termin ważności minimum 12 miesięcy od daty dostarczenia do siedziby zamawiającego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jc w:val="center"/>
            </w:pPr>
            <w:r w:rsidRPr="00467BF5">
              <w:t>30</w:t>
            </w:r>
          </w:p>
        </w:tc>
        <w:tc>
          <w:tcPr>
            <w:tcW w:w="1758" w:type="dxa"/>
          </w:tcPr>
          <w:p w:rsidR="00CA54ED" w:rsidRDefault="00CA54ED" w:rsidP="00CA54ED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  <w:tr w:rsidR="00CA54ED" w:rsidTr="00CA54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Default="00CA54ED" w:rsidP="00CA54ED">
            <w:pPr>
              <w:spacing w:after="160" w:line="259" w:lineRule="auto"/>
              <w:jc w:val="center"/>
            </w:pPr>
            <w:r w:rsidRPr="00467BF5">
              <w:t>3</w:t>
            </w:r>
          </w:p>
          <w:p w:rsidR="00CA54ED" w:rsidRDefault="00CA54ED" w:rsidP="00CA54ED">
            <w:pPr>
              <w:spacing w:after="160" w:line="259" w:lineRule="auto"/>
            </w:pPr>
            <w:r w:rsidRPr="00467BF5">
              <w:t>.</w:t>
            </w:r>
          </w:p>
          <w:p w:rsidR="00CA54ED" w:rsidRDefault="00CA54ED" w:rsidP="00CA54ED">
            <w:pPr>
              <w:spacing w:after="160" w:line="259" w:lineRule="auto"/>
            </w:pPr>
          </w:p>
          <w:p w:rsidR="00CA54ED" w:rsidRDefault="00CA54ED" w:rsidP="00CA54ED">
            <w:pPr>
              <w:spacing w:after="160" w:line="259" w:lineRule="auto"/>
            </w:pPr>
          </w:p>
          <w:p w:rsidR="00CA54ED" w:rsidRDefault="00CA54ED" w:rsidP="00CA54ED">
            <w:pPr>
              <w:spacing w:after="160" w:line="259" w:lineRule="auto"/>
            </w:pPr>
          </w:p>
          <w:p w:rsidR="00CA54ED" w:rsidRPr="00467BF5" w:rsidRDefault="00CA54ED" w:rsidP="00CA54ED">
            <w:pPr>
              <w:spacing w:after="160" w:line="259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Pojemnik z roztworem HES do  laboratoryjnej preparatyki krwi; jeden pojemnik to układ dwóch worków połączonych; pojemnik zawierający 75 ml płynu o składzie: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Hydroksyetyloskrobia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6,0 g, chlorek sodu 0,9 g, woda do iniekcji do 100 ml. Pojemnik z </w:t>
            </w:r>
            <w:r w:rsidRPr="00B20B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roztworem HES wykonany z PCW, jednorazowego użytku, sterylny, nietoksyczny,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apirogenny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; Masa cząsteczkowa 450,000 D. Możliwość wykonywania </w:t>
            </w:r>
            <w:proofErr w:type="spellStart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zgrzewów</w:t>
            </w:r>
            <w:proofErr w:type="spellEnd"/>
            <w:r w:rsidRPr="00B20BFC">
              <w:rPr>
                <w:rFonts w:ascii="Times New Roman" w:hAnsi="Times New Roman" w:cs="Times New Roman"/>
                <w:sz w:val="18"/>
                <w:szCs w:val="18"/>
              </w:rPr>
              <w:t xml:space="preserve"> na zgrzewarce do jałowego łączenia drenów dostępnych na rynku;  wymagane dostarczenie certyfikatu, termin ważności minimum 12 miesięcy od daty dostarczenia do siedziby zamawiającego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B20BFC" w:rsidRDefault="00CA54ED" w:rsidP="00CA54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D" w:rsidRPr="00B20BFC" w:rsidRDefault="00CA54ED" w:rsidP="00CA54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F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ED" w:rsidRPr="00467BF5" w:rsidRDefault="00CA54ED" w:rsidP="00CA54ED">
            <w:pPr>
              <w:spacing w:after="160" w:line="259" w:lineRule="auto"/>
              <w:jc w:val="center"/>
            </w:pPr>
          </w:p>
          <w:p w:rsidR="00CA54ED" w:rsidRPr="00467BF5" w:rsidRDefault="00CA54ED" w:rsidP="00CA54ED">
            <w:pPr>
              <w:spacing w:after="160" w:line="259" w:lineRule="auto"/>
              <w:jc w:val="center"/>
            </w:pPr>
            <w:r w:rsidRPr="00467BF5">
              <w:t>10</w:t>
            </w:r>
          </w:p>
        </w:tc>
        <w:tc>
          <w:tcPr>
            <w:tcW w:w="1758" w:type="dxa"/>
          </w:tcPr>
          <w:p w:rsidR="00CA54ED" w:rsidRDefault="00CA54ED" w:rsidP="00CA54ED">
            <w:pPr>
              <w:tabs>
                <w:tab w:val="left" w:pos="1140"/>
              </w:tabs>
              <w:ind w:right="1"/>
              <w:rPr>
                <w:rFonts w:ascii="Times New Roman" w:hAnsi="Times New Roman" w:cs="Times New Roman"/>
              </w:rPr>
            </w:pPr>
          </w:p>
        </w:tc>
      </w:tr>
    </w:tbl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B20BFC" w:rsidRDefault="00B20BFC" w:rsidP="00E3595B">
      <w:pPr>
        <w:tabs>
          <w:tab w:val="left" w:pos="1140"/>
        </w:tabs>
        <w:ind w:right="1"/>
        <w:rPr>
          <w:rFonts w:ascii="Times New Roman" w:hAnsi="Times New Roman" w:cs="Times New Roman"/>
        </w:rPr>
      </w:pPr>
    </w:p>
    <w:p w:rsidR="003A3668" w:rsidRDefault="003A3668" w:rsidP="003A3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XIX </w:t>
      </w:r>
      <w:r w:rsidRPr="006A15F1">
        <w:rPr>
          <w:rFonts w:ascii="Times New Roman" w:hAnsi="Times New Roman" w:cs="Times New Roman"/>
        </w:rPr>
        <w:t xml:space="preserve">Dostawa </w:t>
      </w:r>
      <w:r>
        <w:rPr>
          <w:rFonts w:ascii="Times New Roman" w:hAnsi="Times New Roman" w:cs="Times New Roman"/>
        </w:rPr>
        <w:t xml:space="preserve">jednorazowa </w:t>
      </w:r>
      <w:r w:rsidRPr="006A15F1">
        <w:rPr>
          <w:rFonts w:ascii="Times New Roman" w:hAnsi="Times New Roman" w:cs="Times New Roman"/>
        </w:rPr>
        <w:t xml:space="preserve">zestawów do oznaczania 25-OH witamina D </w:t>
      </w:r>
      <w:proofErr w:type="spellStart"/>
      <w:r w:rsidRPr="006A15F1">
        <w:rPr>
          <w:rFonts w:ascii="Times New Roman" w:hAnsi="Times New Roman" w:cs="Times New Roman"/>
        </w:rPr>
        <w:t>totalELISA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Pr="006A15F1" w:rsidRDefault="008C7384" w:rsidP="003A3668">
      <w:pPr>
        <w:rPr>
          <w:rFonts w:ascii="Times New Roman" w:hAnsi="Times New Roman" w:cs="Times New Roman"/>
        </w:rPr>
      </w:pPr>
    </w:p>
    <w:p w:rsidR="00E57666" w:rsidRDefault="00E57666" w:rsidP="00EE1719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34"/>
        <w:gridCol w:w="4252"/>
        <w:gridCol w:w="632"/>
        <w:gridCol w:w="644"/>
        <w:gridCol w:w="2977"/>
      </w:tblGrid>
      <w:tr w:rsidR="00CA54ED" w:rsidTr="00587FE5">
        <w:tc>
          <w:tcPr>
            <w:tcW w:w="534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632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j.m.</w:t>
            </w:r>
          </w:p>
        </w:tc>
        <w:tc>
          <w:tcPr>
            <w:tcW w:w="644" w:type="dxa"/>
            <w:vAlign w:val="center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3913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2977" w:type="dxa"/>
          </w:tcPr>
          <w:p w:rsidR="00CA54ED" w:rsidRPr="00E13913" w:rsidRDefault="00CA54ED" w:rsidP="00CA54ED">
            <w:pPr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3A3668" w:rsidTr="003A3668">
        <w:tc>
          <w:tcPr>
            <w:tcW w:w="534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Zestaw ELISA do ilościowego oznaczenia  25-OH witamina D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w ludzkiej surowicy; Test diagnostyczny posiadający certyfikat CE,  IVD; Immunoenzymatyczny zestaw zawierający płytkę 96-dołkową (12 wyłamywanych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stripów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x 8 dołków </w:t>
            </w:r>
            <w:proofErr w:type="spellStart"/>
            <w:r w:rsidRPr="002F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okrągłodennych</w:t>
            </w:r>
            <w:proofErr w:type="spellEnd"/>
            <w:r w:rsidRPr="002F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przezroczystych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). </w:t>
            </w:r>
            <w:r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9</w:t>
            </w:r>
            <w:r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W związku z powyższym Wykonawca powinien uzupełnić wspomniany Załącznik poprzez zaznaczenie płytki używanej w teście. Zestaw powinien zawierać komplet wszystkich niezbędnych odczynników. Wymagana objętość próbki maksymalnie 50 µl; Minimalna czułość testu 2,9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ng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/ml; Specyficzność wobec 25-OH D3 równa 100%; Zakres liniowości testu co najmniej do 122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ng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/ml; Odczyt absorbancji przy 450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nm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; Test oparty o 6 parametrową krzywą  kalibracyjną; Wysoka korelacja z metodą referencyjną RIA (ok 1,0); Całkowity czas wykonania analizy nie dłuższy niż 4 godziny; Możliwość zautomatyzowania analizy - Wykonawca zobowiązany jest do przygotowania aplikacji procesowej w siedzibie Zamawiającego na udostępnionym przez niego sprzęcie (czytnik płytek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>TecanhydroFLEX</w:t>
            </w:r>
            <w:proofErr w:type="spellEnd"/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) oraz </w:t>
            </w:r>
            <w:r w:rsidRPr="002F4DC0">
              <w:rPr>
                <w:rFonts w:ascii="Times New Roman" w:hAnsi="Times New Roman" w:cs="Times New Roman"/>
                <w:b/>
                <w:sz w:val="16"/>
                <w:szCs w:val="16"/>
              </w:rPr>
              <w:t>sprawdzenia poprawności działania testu na własny koszt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. Wykonawca winien przedstawić dowody, iż </w:t>
            </w:r>
            <w:r w:rsidRPr="002F4D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oferowane zestawy</w:t>
            </w:r>
            <w:r w:rsidRPr="002F4DC0">
              <w:rPr>
                <w:rFonts w:ascii="Times New Roman" w:hAnsi="Times New Roman" w:cs="Times New Roman"/>
                <w:sz w:val="16"/>
                <w:szCs w:val="16"/>
              </w:rPr>
              <w:t xml:space="preserve"> używane są/były w laboratoriach medycznych działających w obrębie szpitali/klinik/przychodni, bądź wykonywały na ich zlecenie badania. Minimalny wymagany termin ważności nie krótszy niż 12 miesięcy od daty dostawy danej partii zestawów do siedziby Zamawiającego.</w:t>
            </w:r>
          </w:p>
        </w:tc>
        <w:tc>
          <w:tcPr>
            <w:tcW w:w="632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644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3A3668" w:rsidRDefault="003A3668" w:rsidP="00EE1719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3A3668" w:rsidRDefault="003A3668" w:rsidP="00EE1719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E1719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3F0961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Zadanie XX</w:t>
      </w:r>
      <w:r w:rsidR="00882AA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C7384">
        <w:rPr>
          <w:rFonts w:ascii="Times New Roman" w:hAnsi="Times New Roman" w:cs="Times New Roman"/>
          <w:i w:val="0"/>
          <w:color w:val="auto"/>
          <w:sz w:val="24"/>
          <w:szCs w:val="24"/>
        </w:rPr>
        <w:t>Dostawa jednorazowa diagnostycznych testów immunoenzymatycznych</w:t>
      </w:r>
      <w:r w:rsidR="008C7384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ELISA 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(przeciwko tkankowej 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transglutaminazie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 – część I (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IgA</w:t>
      </w:r>
      <w:proofErr w:type="spellEnd"/>
      <w:r w:rsidR="008C7384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</w:p>
    <w:p w:rsidR="008C7384" w:rsidRPr="008C7384" w:rsidRDefault="008C7384" w:rsidP="008C7384">
      <w:pPr>
        <w:rPr>
          <w:lang w:eastAsia="en-US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lastRenderedPageBreak/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Pr="008C7384" w:rsidRDefault="008C7384" w:rsidP="008C7384">
      <w:pPr>
        <w:rPr>
          <w:lang w:eastAsia="en-US"/>
        </w:rPr>
      </w:pPr>
    </w:p>
    <w:p w:rsidR="003F0961" w:rsidRPr="003F0961" w:rsidRDefault="003F0961" w:rsidP="003F0961">
      <w:pPr>
        <w:rPr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851"/>
        <w:gridCol w:w="2584"/>
      </w:tblGrid>
      <w:tr w:rsidR="00E97896" w:rsidTr="00E978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534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kich przeciwciał klasy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IgA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przeciwko ludzkiej tkankowej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transglutaminazie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tTG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w surowicy lub plazmie.</w:t>
            </w:r>
          </w:p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ludzką tkankową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transglutaminazą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 9.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. (Rodzaje płytek). Zestaw powinien zawierać komplet wszystkich niezbędnych odczynników. Zestaw powinien charakteryzować się swoistością na poziomie minimum 95,0%. </w:t>
            </w:r>
          </w:p>
          <w:p w:rsidR="003F0961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AA1" w:rsidRPr="00882AA1" w:rsidRDefault="00882AA1" w:rsidP="00882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851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4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882AA1" w:rsidRDefault="00882AA1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3F0961" w:rsidRPr="00AE7677" w:rsidRDefault="00E57666" w:rsidP="003F0961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Zadanie XXI</w:t>
      </w:r>
      <w:r w:rsidR="00882AA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C738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Dostawa jednorazowa diagnostycznych testów immunoenzymatycznych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ELISA (przeciwko tkankowej 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transglutaminazie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 – część II (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IgG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709"/>
        <w:gridCol w:w="2726"/>
      </w:tblGrid>
      <w:tr w:rsidR="00E97896" w:rsidTr="00E978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675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25B0" w:rsidRDefault="00A825B0" w:rsidP="00A825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kich przeciwciał klasy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IgG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przeciwko ludzkiej tkankowej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transglutaminazie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tTG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w surowicy lub plazmie.</w:t>
            </w:r>
          </w:p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ludzką tkankową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transglutaminazą</w:t>
            </w:r>
            <w:proofErr w:type="spellEnd"/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Płytka winna być jedną ze wskazanych w załączniku 9.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. (Rodzaje płytek). Zestaw powinien zawierać komplet wszystkich niezbędnych odczynników. Zestaw powinien charakteryzować się swoistością na poziomie minimum 95,0%. </w:t>
            </w:r>
          </w:p>
          <w:p w:rsidR="003F0961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Op.</w:t>
            </w:r>
          </w:p>
        </w:tc>
        <w:tc>
          <w:tcPr>
            <w:tcW w:w="709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6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3F0961" w:rsidRPr="00AE7677" w:rsidRDefault="00E57666" w:rsidP="003F0961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Zadanie XXII</w:t>
      </w:r>
      <w:r w:rsidR="00A825B0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E7677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Dostawa jednorazowa </w:t>
      </w:r>
      <w:r w:rsidR="00AE7677">
        <w:rPr>
          <w:rFonts w:ascii="Times New Roman" w:hAnsi="Times New Roman" w:cs="Times New Roman"/>
          <w:i w:val="0"/>
          <w:color w:val="auto"/>
          <w:sz w:val="24"/>
          <w:szCs w:val="24"/>
        </w:rPr>
        <w:t>diagnostycznych testów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immunoenzy</w:t>
      </w:r>
      <w:r w:rsidR="00AE767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matycznych </w:t>
      </w:r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ELISA (anty-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gliadynowe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 – część I (</w:t>
      </w:r>
      <w:proofErr w:type="spellStart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IgA</w:t>
      </w:r>
      <w:proofErr w:type="spellEnd"/>
      <w:r w:rsidR="003F0961" w:rsidRPr="00AE7677">
        <w:rPr>
          <w:rFonts w:ascii="Times New Roman" w:hAnsi="Times New Roman" w:cs="Times New Roman"/>
          <w:i w:val="0"/>
          <w:color w:val="auto"/>
          <w:sz w:val="24"/>
          <w:szCs w:val="24"/>
        </w:rPr>
        <w:t>)</w:t>
      </w: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576"/>
        <w:gridCol w:w="2292"/>
      </w:tblGrid>
      <w:tr w:rsidR="00E97896" w:rsidTr="00E978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817" w:type="dxa"/>
          </w:tcPr>
          <w:p w:rsidR="00882AA1" w:rsidRDefault="00AE7677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ludzkich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przeciwciał klasy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IgA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przeciwko gliadynie w surowicy lub plazmie.</w:t>
            </w:r>
          </w:p>
          <w:p w:rsidR="00882AA1" w:rsidRDefault="003F0961" w:rsidP="003F09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antygenem gliadyny. 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 9.</w:t>
            </w:r>
            <w:r w:rsidR="00336C8D"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(Rodzaje płytek). Zestaw powinien zawierać komplet wszystkich niezbędnych odczynników. Zestaw powinien charakteryzować się swoistością na poziomie minimum 95,0%. 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</w:p>
        </w:tc>
        <w:tc>
          <w:tcPr>
            <w:tcW w:w="850" w:type="dxa"/>
          </w:tcPr>
          <w:p w:rsidR="00882AA1" w:rsidRDefault="00AE7677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576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2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080FF2" w:rsidRPr="008C7384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E57666" w:rsidRDefault="00E57666" w:rsidP="00E57666">
      <w:pPr>
        <w:tabs>
          <w:tab w:val="left" w:pos="1140"/>
        </w:tabs>
        <w:rPr>
          <w:rFonts w:ascii="Times New Roman" w:hAnsi="Times New Roman" w:cs="Times New Roman"/>
        </w:rPr>
      </w:pPr>
      <w:r w:rsidRPr="008C7384">
        <w:rPr>
          <w:rFonts w:ascii="Times New Roman" w:hAnsi="Times New Roman" w:cs="Times New Roman"/>
        </w:rPr>
        <w:t>Zadanie XXIII</w:t>
      </w:r>
      <w:r w:rsidR="00E97896" w:rsidRPr="008C7384">
        <w:rPr>
          <w:rFonts w:ascii="Times New Roman" w:hAnsi="Times New Roman" w:cs="Times New Roman"/>
        </w:rPr>
        <w:t xml:space="preserve"> </w:t>
      </w:r>
      <w:r w:rsidR="008C7384" w:rsidRPr="008C7384">
        <w:rPr>
          <w:rFonts w:ascii="Times New Roman" w:hAnsi="Times New Roman" w:cs="Times New Roman"/>
          <w:sz w:val="24"/>
          <w:szCs w:val="24"/>
        </w:rPr>
        <w:t>Dostawa jednorazowa diagnostycznych testów immunoenzymatycznych ELISA</w:t>
      </w:r>
      <w:r w:rsidR="008C7384" w:rsidRPr="008C7384">
        <w:rPr>
          <w:rFonts w:ascii="Times New Roman" w:hAnsi="Times New Roman" w:cs="Times New Roman"/>
        </w:rPr>
        <w:t xml:space="preserve"> </w:t>
      </w:r>
      <w:r w:rsidR="00E97896" w:rsidRPr="008C7384">
        <w:rPr>
          <w:rFonts w:ascii="Times New Roman" w:hAnsi="Times New Roman" w:cs="Times New Roman"/>
        </w:rPr>
        <w:t>(anty-</w:t>
      </w:r>
      <w:proofErr w:type="spellStart"/>
      <w:r w:rsidR="00E97896" w:rsidRPr="008C7384">
        <w:rPr>
          <w:rFonts w:ascii="Times New Roman" w:hAnsi="Times New Roman" w:cs="Times New Roman"/>
        </w:rPr>
        <w:t>gliadynowe</w:t>
      </w:r>
      <w:proofErr w:type="spellEnd"/>
      <w:r w:rsidR="00E97896" w:rsidRPr="008C7384">
        <w:rPr>
          <w:rFonts w:ascii="Times New Roman" w:hAnsi="Times New Roman" w:cs="Times New Roman"/>
        </w:rPr>
        <w:t>) – część</w:t>
      </w:r>
      <w:r w:rsidR="008C7384" w:rsidRPr="008C7384">
        <w:rPr>
          <w:rFonts w:ascii="Times New Roman" w:hAnsi="Times New Roman" w:cs="Times New Roman"/>
        </w:rPr>
        <w:t xml:space="preserve"> II(</w:t>
      </w:r>
      <w:proofErr w:type="spellStart"/>
      <w:r w:rsidR="008C7384" w:rsidRPr="008C7384">
        <w:rPr>
          <w:rFonts w:ascii="Times New Roman" w:hAnsi="Times New Roman" w:cs="Times New Roman"/>
        </w:rPr>
        <w:t>IgG</w:t>
      </w:r>
      <w:proofErr w:type="spellEnd"/>
      <w:r w:rsidR="00E97896" w:rsidRPr="008C7384">
        <w:rPr>
          <w:rFonts w:ascii="Times New Roman" w:hAnsi="Times New Roman" w:cs="Times New Roman"/>
        </w:rPr>
        <w:t>)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P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1134"/>
        <w:gridCol w:w="2159"/>
      </w:tblGrid>
      <w:tr w:rsidR="00E97896" w:rsidTr="00E978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96" w:rsidRDefault="00E97896" w:rsidP="00E97896">
            <w:pPr>
              <w:spacing w:after="160"/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882AA1" w:rsidTr="00E97896">
        <w:tc>
          <w:tcPr>
            <w:tcW w:w="675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F0961" w:rsidRPr="00705ABE" w:rsidRDefault="003F0961" w:rsidP="003F09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Diagnostyczne (IVD) testy immunoenzymatyczne (ELISA) służące do ilościowego lub półilościowego oznaczania in vitro ludzk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ich przeciwciał klasy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IgG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przeciwko gliadynie w surowicy lub plazmie.</w:t>
            </w:r>
          </w:p>
          <w:p w:rsidR="00882AA1" w:rsidRDefault="003F0961" w:rsidP="003F09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Opakowanie zestawów testowych musi zawierać jedną mikropłytkę (96-cio dołkową) z 12-stoma paskami mikroprobówek - każdy z 8 osobno odłamywanymi studzienkami reakcyjnymi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opłaszczonymi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antygenem gliadyny. </w:t>
            </w:r>
            <w:r w:rsidR="00336C8D" w:rsidRPr="00336C8D">
              <w:rPr>
                <w:rFonts w:ascii="Times New Roman" w:hAnsi="Times New Roman" w:cs="Times New Roman"/>
                <w:b/>
                <w:sz w:val="16"/>
                <w:szCs w:val="16"/>
              </w:rPr>
              <w:t>Płytka winna być jedną ze wskazanych w załączniku 9.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(Rodzaje płytek). Zestaw powinien zawierać komplet wszystkich niezbędnych odczynników. Zestaw powinien charakteryzować się swoistością na poziomie minimum 95,0%. Wykonawca zobowiązany jest do przygotowania aplikacji procesowej w siedzibie Zamawiającego na udostępnionym przez niego sprzęcie (czytnik 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Infinite M200PRO, automatyczna płuczka mikropłytek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Tecan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hydroFLEX</w:t>
            </w:r>
            <w:proofErr w:type="spellEnd"/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) oraz sprawdzenia poprawności działania testu na własny koszt, własnych odczynnikach. Wykonawca winien przedstawić dowody, iż oferowane zestawy używane są/były w laboratoriach medycznych działających w obrębie szpitali / klinik / przychodni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profilu ogólnym i/lub pediatrycznym i/lub zakaźnym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>, bądź wykonywały na ich zlecenie badania. Minimalny wymagany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rmin ważności nie krótszy niż 9</w:t>
            </w:r>
            <w:r w:rsidRPr="00705ABE">
              <w:rPr>
                <w:rFonts w:ascii="Times New Roman" w:hAnsi="Times New Roman" w:cs="Times New Roman"/>
                <w:sz w:val="16"/>
                <w:szCs w:val="16"/>
              </w:rPr>
              <w:t xml:space="preserve"> miesięcy od daty dostawy danej partii pojemników do siedziby Zamawiającego. Wymagana dostawa certyfikatów kontroli jakości danej serii produkcyjnej podczas dostawy pojemników.</w:t>
            </w:r>
          </w:p>
        </w:tc>
        <w:tc>
          <w:tcPr>
            <w:tcW w:w="851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1134" w:type="dxa"/>
          </w:tcPr>
          <w:p w:rsidR="00882AA1" w:rsidRDefault="008C7384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9" w:type="dxa"/>
          </w:tcPr>
          <w:p w:rsidR="00882AA1" w:rsidRDefault="00882AA1" w:rsidP="00E576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882AA1" w:rsidRDefault="00882AA1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XXIV Dostawa jednorazowa narzędzi chirurgicznych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W w:w="939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4395"/>
        <w:gridCol w:w="850"/>
        <w:gridCol w:w="709"/>
        <w:gridCol w:w="2693"/>
      </w:tblGrid>
      <w:tr w:rsidR="0070591A" w:rsidRPr="00BF2DFF" w:rsidTr="003A3668">
        <w:trPr>
          <w:trHeight w:val="20"/>
        </w:trPr>
        <w:tc>
          <w:tcPr>
            <w:tcW w:w="747" w:type="dxa"/>
            <w:vAlign w:val="center"/>
          </w:tcPr>
          <w:p w:rsidR="0070591A" w:rsidRPr="00BF2DFF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395" w:type="dxa"/>
            <w:vAlign w:val="center"/>
          </w:tcPr>
          <w:p w:rsidR="0070591A" w:rsidRPr="00BF2DFF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850" w:type="dxa"/>
            <w:vAlign w:val="center"/>
          </w:tcPr>
          <w:p w:rsidR="0070591A" w:rsidRPr="00BF2DFF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709" w:type="dxa"/>
            <w:vAlign w:val="center"/>
          </w:tcPr>
          <w:p w:rsidR="0070591A" w:rsidRPr="00BF2DFF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2D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2693" w:type="dxa"/>
          </w:tcPr>
          <w:p w:rsidR="0070591A" w:rsidRPr="00BF2DFF" w:rsidRDefault="003A3668" w:rsidP="00E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70591A" w:rsidRPr="00014E77" w:rsidTr="003A3668">
        <w:trPr>
          <w:trHeight w:val="20"/>
        </w:trPr>
        <w:tc>
          <w:tcPr>
            <w:tcW w:w="747" w:type="dxa"/>
          </w:tcPr>
          <w:p w:rsidR="0070591A" w:rsidRPr="00014E77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5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Zaciski (klemy) do drenów/klemy (kleszczyki) naczyniowe </w:t>
            </w: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ze stali nierdzewnej o długości 14-16 cm, proste,  poprzecznie prążkowane, podlegające sterylizacji i dezynfekcji, posiadające oznakowanie CE</w:t>
            </w:r>
          </w:p>
        </w:tc>
        <w:tc>
          <w:tcPr>
            <w:tcW w:w="850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709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RPr="00014E77" w:rsidTr="003A3668">
        <w:trPr>
          <w:trHeight w:val="20"/>
        </w:trPr>
        <w:tc>
          <w:tcPr>
            <w:tcW w:w="747" w:type="dxa"/>
          </w:tcPr>
          <w:p w:rsidR="0070591A" w:rsidRPr="00014E77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5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Nożyczki chirurgiczne ze stali nierdzewnej, proste, z jednym ostrzem przytępionym a drugim ostrym (ostro/tępe), podlegające sterylizacji i dezynfekcji, o długości 13-17 cm, posiadające oznakowanie CE</w:t>
            </w:r>
          </w:p>
        </w:tc>
        <w:tc>
          <w:tcPr>
            <w:tcW w:w="850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70591A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591A" w:rsidRPr="00014E77" w:rsidTr="003A3668">
        <w:trPr>
          <w:trHeight w:val="20"/>
        </w:trPr>
        <w:tc>
          <w:tcPr>
            <w:tcW w:w="747" w:type="dxa"/>
          </w:tcPr>
          <w:p w:rsidR="0070591A" w:rsidRPr="00014E77" w:rsidRDefault="0070591A" w:rsidP="003A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5" w:type="dxa"/>
          </w:tcPr>
          <w:p w:rsidR="0070591A" w:rsidRPr="00592E2D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Tace medyczne (chirurgiczne) ze stali nierdzewnej, podlegające sterylizacji i dezynfekcji o wymiarach: 235-270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mm </w:t>
            </w: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 180-200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mm</w:t>
            </w: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 25-50 mm, posiadające oznakowanie CE</w:t>
            </w:r>
          </w:p>
        </w:tc>
        <w:tc>
          <w:tcPr>
            <w:tcW w:w="850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4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:rsidR="0070591A" w:rsidRPr="00014E77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70591A" w:rsidRDefault="0070591A" w:rsidP="00E3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80FF2" w:rsidRDefault="00080FF2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AE7677" w:rsidRDefault="00AE7677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p w:rsidR="00AE7677" w:rsidRDefault="00AE7677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p w:rsidR="00E57666" w:rsidRDefault="00080FF2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XXV Dostawa jednorazowa odczynników do analizatora </w:t>
      </w:r>
      <w:proofErr w:type="spellStart"/>
      <w:r>
        <w:rPr>
          <w:rFonts w:ascii="Times New Roman" w:hAnsi="Times New Roman" w:cs="Times New Roman"/>
        </w:rPr>
        <w:t>Immulite</w:t>
      </w:r>
      <w:proofErr w:type="spellEnd"/>
      <w:r>
        <w:rPr>
          <w:rFonts w:ascii="Times New Roman" w:hAnsi="Times New Roman" w:cs="Times New Roman"/>
        </w:rPr>
        <w:t xml:space="preserve"> 2000 </w:t>
      </w:r>
      <w:proofErr w:type="spellStart"/>
      <w:r>
        <w:rPr>
          <w:rFonts w:ascii="Times New Roman" w:hAnsi="Times New Roman" w:cs="Times New Roman"/>
        </w:rPr>
        <w:t>XPi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tbl>
      <w:tblPr>
        <w:tblStyle w:val="Tabela-Siatka"/>
        <w:tblW w:w="9433" w:type="dxa"/>
        <w:tblInd w:w="-111" w:type="dxa"/>
        <w:tblLook w:val="04A0" w:firstRow="1" w:lastRow="0" w:firstColumn="1" w:lastColumn="0" w:noHBand="0" w:noVBand="1"/>
      </w:tblPr>
      <w:tblGrid>
        <w:gridCol w:w="747"/>
        <w:gridCol w:w="4434"/>
        <w:gridCol w:w="850"/>
        <w:gridCol w:w="709"/>
        <w:gridCol w:w="2693"/>
      </w:tblGrid>
      <w:tr w:rsidR="003A3668" w:rsidRPr="00F71B31" w:rsidTr="003A3668">
        <w:trPr>
          <w:trHeight w:val="486"/>
        </w:trPr>
        <w:tc>
          <w:tcPr>
            <w:tcW w:w="747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434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850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09" w:type="dxa"/>
            <w:vAlign w:val="center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693" w:type="dxa"/>
          </w:tcPr>
          <w:p w:rsidR="003A3668" w:rsidRPr="00F71B31" w:rsidRDefault="003A3668" w:rsidP="00E3595B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3A3668" w:rsidRPr="00014E77" w:rsidTr="003A3668">
        <w:trPr>
          <w:trHeight w:val="20"/>
        </w:trPr>
        <w:tc>
          <w:tcPr>
            <w:tcW w:w="747" w:type="dxa"/>
          </w:tcPr>
          <w:p w:rsidR="003A3668" w:rsidRPr="00014E77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1.</w:t>
            </w:r>
          </w:p>
        </w:tc>
        <w:tc>
          <w:tcPr>
            <w:tcW w:w="4434" w:type="dxa"/>
          </w:tcPr>
          <w:p w:rsidR="003A3668" w:rsidRPr="00014E77" w:rsidRDefault="003A3668" w:rsidP="00080FF2">
            <w:pPr>
              <w:tabs>
                <w:tab w:val="left" w:pos="3896"/>
              </w:tabs>
              <w:ind w:right="175"/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 xml:space="preserve">Alkohol izopropylowy lub </w:t>
            </w: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 xml:space="preserve">równoważny dedykowany dla analizatora IMMULITE 2000 </w:t>
            </w:r>
            <w:proofErr w:type="spellStart"/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XPi</w:t>
            </w:r>
            <w:proofErr w:type="spellEnd"/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850" w:type="dxa"/>
          </w:tcPr>
          <w:p w:rsidR="003A3668" w:rsidRPr="00014E77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Op</w:t>
            </w: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709" w:type="dxa"/>
          </w:tcPr>
          <w:p w:rsidR="003A3668" w:rsidRPr="00014E77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2693" w:type="dxa"/>
          </w:tcPr>
          <w:p w:rsidR="003A3668" w:rsidRDefault="003A3668" w:rsidP="00E3595B">
            <w:pPr>
              <w:jc w:val="both"/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  <w:tr w:rsidR="003A3668" w:rsidRPr="00014E77" w:rsidTr="003A3668">
        <w:trPr>
          <w:trHeight w:val="20"/>
        </w:trPr>
        <w:tc>
          <w:tcPr>
            <w:tcW w:w="747" w:type="dxa"/>
          </w:tcPr>
          <w:p w:rsidR="003A3668" w:rsidRPr="00014E77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2.</w:t>
            </w:r>
          </w:p>
        </w:tc>
        <w:tc>
          <w:tcPr>
            <w:tcW w:w="4434" w:type="dxa"/>
          </w:tcPr>
          <w:p w:rsidR="003A3668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 xml:space="preserve">Mikroprobówki o pojemności 2,5 ml dedykowane do  analizatora </w:t>
            </w:r>
            <w:r w:rsidRPr="00014E77"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IMMULITE 2000 XPi.</w:t>
            </w:r>
          </w:p>
        </w:tc>
        <w:tc>
          <w:tcPr>
            <w:tcW w:w="850" w:type="dxa"/>
          </w:tcPr>
          <w:p w:rsidR="003A3668" w:rsidRPr="00014E77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op</w:t>
            </w:r>
            <w:proofErr w:type="spellEnd"/>
          </w:p>
        </w:tc>
        <w:tc>
          <w:tcPr>
            <w:tcW w:w="709" w:type="dxa"/>
          </w:tcPr>
          <w:p w:rsidR="003A3668" w:rsidRPr="00014E77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2693" w:type="dxa"/>
          </w:tcPr>
          <w:p w:rsidR="003A3668" w:rsidRDefault="003A3668" w:rsidP="00E3595B">
            <w:pPr>
              <w:rPr>
                <w:rFonts w:ascii="Times New Roman" w:hAnsi="Times New Roman"/>
                <w:kern w:val="16"/>
                <w:sz w:val="18"/>
                <w:szCs w:val="18"/>
                <w:lang w:eastAsia="nl-NL"/>
              </w:rPr>
            </w:pPr>
          </w:p>
        </w:tc>
      </w:tr>
    </w:tbl>
    <w:p w:rsidR="00080FF2" w:rsidRDefault="00080FF2" w:rsidP="00080FF2">
      <w:pPr>
        <w:tabs>
          <w:tab w:val="left" w:pos="1140"/>
        </w:tabs>
        <w:ind w:right="-3827"/>
        <w:rPr>
          <w:rFonts w:ascii="Times New Roman" w:hAnsi="Times New Roman" w:cs="Times New Roman"/>
        </w:rPr>
      </w:pPr>
    </w:p>
    <w:p w:rsidR="00E57666" w:rsidRDefault="00587FE5" w:rsidP="00E57666">
      <w:pPr>
        <w:tabs>
          <w:tab w:val="left" w:pos="1140"/>
        </w:tabs>
        <w:rPr>
          <w:rFonts w:ascii="Times New Roman" w:hAnsi="Times New Roman" w:cs="Times New Roman"/>
        </w:rPr>
      </w:pPr>
      <w:r w:rsidRPr="00587FE5">
        <w:rPr>
          <w:rFonts w:ascii="Times New Roman" w:hAnsi="Times New Roman" w:cs="Times New Roman"/>
        </w:rPr>
        <w:t>Zadanie XXV</w:t>
      </w:r>
      <w:r>
        <w:rPr>
          <w:rFonts w:ascii="Times New Roman" w:hAnsi="Times New Roman" w:cs="Times New Roman"/>
        </w:rPr>
        <w:t>I</w:t>
      </w:r>
      <w:r w:rsidRPr="00587F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Dostawa jednorazowa probówek do izolacji </w:t>
      </w:r>
      <w:proofErr w:type="spellStart"/>
      <w:r>
        <w:rPr>
          <w:rFonts w:ascii="Times New Roman" w:hAnsi="Times New Roman" w:cs="Times New Roman"/>
        </w:rPr>
        <w:t>wolnokrążącego</w:t>
      </w:r>
      <w:proofErr w:type="spellEnd"/>
      <w:r>
        <w:rPr>
          <w:rFonts w:ascii="Times New Roman" w:hAnsi="Times New Roman" w:cs="Times New Roman"/>
        </w:rPr>
        <w:t xml:space="preserve"> DNA.</w:t>
      </w:r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587FE5" w:rsidRDefault="00587FE5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718"/>
        <w:gridCol w:w="2159"/>
      </w:tblGrid>
      <w:tr w:rsidR="00587FE5" w:rsidTr="00587FE5">
        <w:tc>
          <w:tcPr>
            <w:tcW w:w="675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4253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992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18" w:type="dxa"/>
            <w:vAlign w:val="center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2159" w:type="dxa"/>
          </w:tcPr>
          <w:p w:rsidR="00587FE5" w:rsidRPr="00F71B31" w:rsidRDefault="00587FE5" w:rsidP="00587FE5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587FE5" w:rsidTr="00587FE5">
        <w:tc>
          <w:tcPr>
            <w:tcW w:w="675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 xml:space="preserve">Plastikowe probówki (zawierające płynny stabilizator) do pobierania przechowywania krwi, w celu izolacji </w:t>
            </w:r>
            <w:proofErr w:type="spellStart"/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wolnokrążącego</w:t>
            </w:r>
            <w:proofErr w:type="spellEnd"/>
            <w:r w:rsidRPr="00587FE5">
              <w:rPr>
                <w:rFonts w:ascii="Times New Roman" w:hAnsi="Times New Roman" w:cs="Times New Roman"/>
                <w:sz w:val="18"/>
                <w:szCs w:val="18"/>
              </w:rPr>
              <w:t xml:space="preserve"> DNA.</w:t>
            </w:r>
          </w:p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Okres i warunki przechowywania materiału biologicznego powinny być następujące: do 14 dni w temperaturze pokojowej (15–25°C); do 28 dni w temperaturze 2–8°C;</w:t>
            </w:r>
          </w:p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do 3 miesięcy w temperaturze –20°C; długoterminowe przechowywanie w –70°C;</w:t>
            </w:r>
          </w:p>
          <w:p w:rsidR="00587FE5" w:rsidRPr="00587FE5" w:rsidRDefault="00587FE5" w:rsidP="00587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FE5">
              <w:rPr>
                <w:rFonts w:ascii="Times New Roman" w:hAnsi="Times New Roman" w:cs="Times New Roman"/>
                <w:sz w:val="18"/>
                <w:szCs w:val="18"/>
              </w:rPr>
              <w:t>Pojemność pobranego materiału biologicznego powinna wynosić min. 8 ml.</w:t>
            </w:r>
          </w:p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18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59" w:type="dxa"/>
          </w:tcPr>
          <w:p w:rsidR="00587FE5" w:rsidRDefault="00587FE5" w:rsidP="00587FE5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587FE5" w:rsidRDefault="00587FE5" w:rsidP="00E57666">
      <w:pPr>
        <w:tabs>
          <w:tab w:val="left" w:pos="1140"/>
        </w:tabs>
        <w:rPr>
          <w:rFonts w:ascii="Times New Roman" w:hAnsi="Times New Roman" w:cs="Times New Roman"/>
        </w:rPr>
      </w:pPr>
    </w:p>
    <w:p w:rsidR="00587FE5" w:rsidRDefault="00F511CC" w:rsidP="00E57666">
      <w:pPr>
        <w:tabs>
          <w:tab w:val="left" w:pos="1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Zadanie XXVII Dostawa jednorazowa odczynników dedykowanych do </w:t>
      </w:r>
      <w:proofErr w:type="spellStart"/>
      <w:r>
        <w:rPr>
          <w:rFonts w:ascii="Times New Roman" w:hAnsi="Times New Roman" w:cs="Times New Roman"/>
        </w:rPr>
        <w:t>sekwenatora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MiSeq</w:t>
      </w:r>
      <w:proofErr w:type="spellEnd"/>
    </w:p>
    <w:p w:rsidR="008C7384" w:rsidRPr="00F72EAB" w:rsidRDefault="008C7384" w:rsidP="008C7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59E2">
        <w:rPr>
          <w:rFonts w:ascii="Times New Roman" w:hAnsi="Times New Roman" w:cs="Times New Roman"/>
          <w:sz w:val="20"/>
          <w:szCs w:val="20"/>
        </w:rPr>
        <w:t>Wykonawca zobowiązany jest przedłożyć przy dostawie dla każdego dostarczanego produktu w ramach niniejszego zadania certyfikat kontroli jakości, numer partii na certyfikacie musi być zgodny z numerem partii produkcyjnej dostarczonej do Zamawiającego.</w:t>
      </w:r>
    </w:p>
    <w:p w:rsidR="008C7384" w:rsidRDefault="008C7384" w:rsidP="00E57666">
      <w:pPr>
        <w:tabs>
          <w:tab w:val="left" w:pos="114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709"/>
        <w:gridCol w:w="3293"/>
      </w:tblGrid>
      <w:tr w:rsidR="00F511CC" w:rsidTr="00F511CC">
        <w:tc>
          <w:tcPr>
            <w:tcW w:w="534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Lp.</w:t>
            </w:r>
          </w:p>
        </w:tc>
        <w:tc>
          <w:tcPr>
            <w:tcW w:w="3543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j.m.</w:t>
            </w:r>
          </w:p>
        </w:tc>
        <w:tc>
          <w:tcPr>
            <w:tcW w:w="709" w:type="dxa"/>
            <w:vAlign w:val="center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 w:rsidRPr="00F71B31"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Ilość</w:t>
            </w:r>
          </w:p>
        </w:tc>
        <w:tc>
          <w:tcPr>
            <w:tcW w:w="3293" w:type="dxa"/>
          </w:tcPr>
          <w:p w:rsidR="00F511CC" w:rsidRPr="00F71B31" w:rsidRDefault="00F511CC" w:rsidP="00F511CC">
            <w:pPr>
              <w:jc w:val="center"/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</w:pPr>
            <w:r>
              <w:rPr>
                <w:rFonts w:ascii="Times New Roman" w:hAnsi="Times New Roman"/>
                <w:b/>
                <w:kern w:val="16"/>
                <w:sz w:val="18"/>
                <w:szCs w:val="18"/>
                <w:lang w:eastAsia="nl-NL"/>
              </w:rPr>
              <w:t>Opis oferowanego przedmiotu zamówienia: producent, numer katalogowy, cena jednostkowa netto, cena jednostkowa brutto</w:t>
            </w:r>
          </w:p>
        </w:tc>
      </w:tr>
      <w:tr w:rsidR="00F511CC" w:rsidTr="00F511CC">
        <w:tc>
          <w:tcPr>
            <w:tcW w:w="534" w:type="dxa"/>
          </w:tcPr>
          <w:p w:rsidR="00F511CC" w:rsidRPr="00C964F5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4F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43" w:type="dxa"/>
          </w:tcPr>
          <w:p w:rsidR="00F511CC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681">
              <w:rPr>
                <w:rFonts w:ascii="Times New Roman" w:hAnsi="Times New Roman" w:cs="Times New Roman"/>
                <w:sz w:val="16"/>
                <w:szCs w:val="16"/>
              </w:rPr>
              <w:t xml:space="preserve">Zestaw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odczynników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sekwenatora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Reagent Kit v2 (300 cykli) nr kat. MS-102-2002 lub równoważny, kompatybilny z urządzeniem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Illumina</w:t>
            </w:r>
            <w:proofErr w:type="spellEnd"/>
          </w:p>
          <w:p w:rsidR="00F511CC" w:rsidRPr="001E5681" w:rsidRDefault="00F511CC" w:rsidP="00F511C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ważności odczynników: minimum 3 miesiące od daty dostawy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</w:tcPr>
          <w:p w:rsidR="00F511CC" w:rsidRDefault="00F511CC" w:rsidP="00F511C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  <w:tr w:rsidR="00F511CC" w:rsidTr="00F511CC">
        <w:tc>
          <w:tcPr>
            <w:tcW w:w="534" w:type="dxa"/>
          </w:tcPr>
          <w:p w:rsidR="00F511CC" w:rsidRPr="00C964F5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43" w:type="dxa"/>
          </w:tcPr>
          <w:p w:rsidR="00F511CC" w:rsidRDefault="00F511CC" w:rsidP="00F51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681">
              <w:rPr>
                <w:rFonts w:ascii="Times New Roman" w:hAnsi="Times New Roman" w:cs="Times New Roman"/>
                <w:sz w:val="16"/>
                <w:szCs w:val="16"/>
              </w:rPr>
              <w:t xml:space="preserve">Zestaw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odczynników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sekwenatora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Reagent Kit v2 (500 cykli) nr kat. MS-102-2003 lub równoważny, kompatybilny z urządzeniem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Miseq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Illumina</w:t>
            </w:r>
            <w:proofErr w:type="spellEnd"/>
          </w:p>
          <w:p w:rsidR="00F511CC" w:rsidRPr="001E5681" w:rsidRDefault="00F511CC" w:rsidP="00F511C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ważności odczynników: minimum 3 miesiące od daty dostawy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Op.</w:t>
            </w:r>
          </w:p>
        </w:tc>
        <w:tc>
          <w:tcPr>
            <w:tcW w:w="709" w:type="dxa"/>
          </w:tcPr>
          <w:p w:rsidR="00F511CC" w:rsidRDefault="00F511CC" w:rsidP="00F511C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</w:tcPr>
          <w:p w:rsidR="00F511CC" w:rsidRDefault="00F511CC" w:rsidP="00F511C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F511CC" w:rsidRPr="00EE1719" w:rsidRDefault="00F511CC" w:rsidP="00E57666">
      <w:pPr>
        <w:tabs>
          <w:tab w:val="left" w:pos="1140"/>
        </w:tabs>
        <w:rPr>
          <w:rFonts w:ascii="Times New Roman" w:hAnsi="Times New Roman" w:cs="Times New Roman"/>
        </w:rPr>
      </w:pPr>
    </w:p>
    <w:sectPr w:rsidR="00F511CC" w:rsidRPr="00EE1719" w:rsidSect="00E3595B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12A6"/>
    <w:rsid w:val="0003249C"/>
    <w:rsid w:val="00052556"/>
    <w:rsid w:val="00080FF2"/>
    <w:rsid w:val="000B32C2"/>
    <w:rsid w:val="000F7721"/>
    <w:rsid w:val="00336C8D"/>
    <w:rsid w:val="003A3668"/>
    <w:rsid w:val="003F0961"/>
    <w:rsid w:val="00585647"/>
    <w:rsid w:val="00587FE5"/>
    <w:rsid w:val="006408BD"/>
    <w:rsid w:val="00643F8C"/>
    <w:rsid w:val="006C5448"/>
    <w:rsid w:val="0070591A"/>
    <w:rsid w:val="00882AA1"/>
    <w:rsid w:val="008C7384"/>
    <w:rsid w:val="00901DB9"/>
    <w:rsid w:val="009E1806"/>
    <w:rsid w:val="00A825B0"/>
    <w:rsid w:val="00AE7677"/>
    <w:rsid w:val="00AF5F7E"/>
    <w:rsid w:val="00B20BFC"/>
    <w:rsid w:val="00C312A6"/>
    <w:rsid w:val="00C96CE7"/>
    <w:rsid w:val="00CA54ED"/>
    <w:rsid w:val="00CF3262"/>
    <w:rsid w:val="00D6109F"/>
    <w:rsid w:val="00DB748A"/>
    <w:rsid w:val="00E3595B"/>
    <w:rsid w:val="00E57666"/>
    <w:rsid w:val="00E97896"/>
    <w:rsid w:val="00EE1719"/>
    <w:rsid w:val="00F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2FB38-6CAC-46A6-86A2-C62A169B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4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12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5255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82AA1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7DA6-BBD7-40AF-AAB3-1831E886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17</Pages>
  <Words>5613</Words>
  <Characters>33680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Cezary Kal</cp:lastModifiedBy>
  <cp:revision>16</cp:revision>
  <dcterms:created xsi:type="dcterms:W3CDTF">2017-11-07T15:29:00Z</dcterms:created>
  <dcterms:modified xsi:type="dcterms:W3CDTF">2017-11-16T07:51:00Z</dcterms:modified>
</cp:coreProperties>
</file>