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0D" w:rsidRPr="001E3746" w:rsidRDefault="0066591F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3645EF" w:rsidRPr="00B44792" w:rsidRDefault="003645EF" w:rsidP="00B17A0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3645EF" w:rsidRPr="00B44792" w:rsidRDefault="003645EF" w:rsidP="00B17A0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10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w:pict>
          <v:shape id="Text Box 5" o:spid="_x0000_s1027" type="#_x0000_t202" style="position:absolute;margin-left:506.3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3645EF" w:rsidRPr="00B44792" w:rsidRDefault="003645EF" w:rsidP="003E756B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37341F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>Załącznik nr 9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 xml:space="preserve">do </w:t>
      </w:r>
      <w:proofErr w:type="spellStart"/>
      <w:r w:rsidR="00B17A0D" w:rsidRPr="001E3746">
        <w:rPr>
          <w:rFonts w:ascii="Times New Roman" w:hAnsi="Times New Roman" w:cs="Times New Roman"/>
          <w:color w:val="000000"/>
        </w:rPr>
        <w:t>SIWZ</w:t>
      </w:r>
      <w:proofErr w:type="spellEnd"/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  <w:r w:rsidR="00491F1A" w:rsidRPr="00D23B69">
        <w:rPr>
          <w:rFonts w:ascii="Times New Roman" w:hAnsi="Times New Roman" w:cs="Times New Roman"/>
          <w:b/>
          <w:color w:val="000000" w:themeColor="text1"/>
        </w:rPr>
        <w:t>DPI.</w:t>
      </w:r>
      <w:r w:rsidR="00D23B69" w:rsidRPr="00D23B69">
        <w:rPr>
          <w:rFonts w:ascii="Times New Roman" w:hAnsi="Times New Roman" w:cs="Times New Roman"/>
          <w:b/>
          <w:color w:val="000000" w:themeColor="text1"/>
        </w:rPr>
        <w:t>272.07</w:t>
      </w:r>
      <w:r w:rsidR="0037341F" w:rsidRPr="00D23B69">
        <w:rPr>
          <w:rFonts w:ascii="Times New Roman" w:hAnsi="Times New Roman" w:cs="Times New Roman"/>
          <w:b/>
          <w:color w:val="000000" w:themeColor="text1"/>
        </w:rPr>
        <w:t>.</w:t>
      </w:r>
      <w:r w:rsidR="00D23B69" w:rsidRPr="00D23B69">
        <w:rPr>
          <w:rFonts w:ascii="Times New Roman" w:hAnsi="Times New Roman" w:cs="Times New Roman"/>
          <w:b/>
          <w:color w:val="000000" w:themeColor="text1"/>
        </w:rPr>
        <w:t>10</w:t>
      </w:r>
      <w:r w:rsidR="00544FE5" w:rsidRPr="00D23B69">
        <w:rPr>
          <w:rFonts w:ascii="Times New Roman" w:hAnsi="Times New Roman" w:cs="Times New Roman"/>
          <w:b/>
          <w:color w:val="000000" w:themeColor="text1"/>
        </w:rPr>
        <w:t>.2016</w:t>
      </w:r>
    </w:p>
    <w:p w:rsidR="008527CA" w:rsidRPr="00D23B69" w:rsidRDefault="009460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D23B69">
        <w:rPr>
          <w:rFonts w:ascii="Times New Roman" w:hAnsi="Times New Roman" w:cs="Times New Roman"/>
          <w:b/>
          <w:color w:val="000000" w:themeColor="text1"/>
        </w:rPr>
        <w:t xml:space="preserve">Dostawa materiałów i </w:t>
      </w:r>
      <w:r w:rsidR="008527CA" w:rsidRPr="00D23B69">
        <w:rPr>
          <w:rFonts w:ascii="Times New Roman" w:hAnsi="Times New Roman" w:cs="Times New Roman"/>
          <w:b/>
          <w:color w:val="000000" w:themeColor="text1"/>
        </w:rPr>
        <w:t xml:space="preserve">odczynników </w:t>
      </w:r>
      <w:r w:rsidRPr="00D23B69">
        <w:rPr>
          <w:rFonts w:ascii="Times New Roman" w:hAnsi="Times New Roman" w:cs="Times New Roman"/>
          <w:b/>
          <w:color w:val="000000" w:themeColor="text1"/>
        </w:rPr>
        <w:t xml:space="preserve">do </w:t>
      </w:r>
      <w:proofErr w:type="spellStart"/>
      <w:r w:rsidRPr="00D23B69">
        <w:rPr>
          <w:rFonts w:ascii="Times New Roman" w:hAnsi="Times New Roman" w:cs="Times New Roman"/>
          <w:b/>
          <w:color w:val="000000" w:themeColor="text1"/>
        </w:rPr>
        <w:t>Biobanku</w:t>
      </w:r>
      <w:proofErr w:type="spellEnd"/>
      <w:r w:rsidRPr="00D23B69">
        <w:rPr>
          <w:rFonts w:ascii="Times New Roman" w:hAnsi="Times New Roman" w:cs="Times New Roman"/>
          <w:b/>
          <w:color w:val="000000" w:themeColor="text1"/>
        </w:rPr>
        <w:t xml:space="preserve"> Świętokrzyskiego</w:t>
      </w: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946069">
        <w:rPr>
          <w:rFonts w:ascii="Times New Roman" w:hAnsi="Times New Roman" w:cs="Times New Roman"/>
          <w:b/>
          <w:color w:val="000000" w:themeColor="text1"/>
        </w:rPr>
        <w:t xml:space="preserve">Zadanie I. </w:t>
      </w:r>
      <w:r w:rsidRPr="00946069">
        <w:rPr>
          <w:rFonts w:ascii="Times New Roman" w:hAnsi="Times New Roman" w:cs="Times New Roman"/>
          <w:color w:val="000000" w:themeColor="text1"/>
        </w:rPr>
        <w:t xml:space="preserve">Dostawa odczynników dedykowanych do aparatu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BD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Bactec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BD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FACSCalibur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 oraz Phoenix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946069" w:rsidRPr="001E3746" w:rsidTr="00584C61">
        <w:tc>
          <w:tcPr>
            <w:tcW w:w="567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Podłoża mikrobiologiczne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PLUS Aerobic/F Medium (wzbogacony bulion z hydrolizatem sojowo-kazeinowym i CO</w:t>
            </w:r>
            <w:r w:rsidRPr="00946069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oraz żywicą) do hodowli i wykrywania drobnoustrojów tlenowych we krwi, zwiększające możliwość ich wykrycia u pacjentów leczonych antybiotykami lub równoważne dedykowane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FX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. Wymagane dołączenie certyfikatu. Termin ważności minimum 8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m-cy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od daty dostarczenia do Zamawiającego.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 50szt.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Podłoża mikrobiologiczne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PLUS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Anaerobic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/F Medium (zredukowany, wzbogacony bulion z hydrolizatem sojowo-kazeinowym i CO</w:t>
            </w:r>
            <w:r w:rsidRPr="00946069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oraz żywicą) do hodowli i wykrywania drobnoustrojów beztlenowych (bakterii i drożdżaków) we krwi, zwiększające możliwość ich wykrycia u pacjentów leczonych antybiotykami lub równoważne dedykowane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FX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. Wymagane dołączenie certyfikatu. Termin ważności minimum 8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m-cy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od daty dostarczenia do Zamawiającego.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 50szt.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CaliBrite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3 Zestaw mikrosfer wyznakowanych 3 różnymi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fluorochromami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FITC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, PE,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PerCP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) oraz niewyznakowanych lub równoważny dedykowany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Stem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Cell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Control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Kit, krew kontrolna do CD34+ 2 poziomy - niski </w:t>
            </w:r>
            <w:r w:rsidR="00D23B69">
              <w:rPr>
                <w:rFonts w:ascii="Times New Roman" w:hAnsi="Times New Roman"/>
                <w:sz w:val="16"/>
                <w:szCs w:val="16"/>
              </w:rPr>
              <w:t xml:space="preserve">ok. 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10 komórek/µl i wysoki </w:t>
            </w:r>
            <w:r w:rsidR="00D23B69">
              <w:rPr>
                <w:rFonts w:ascii="Times New Roman" w:hAnsi="Times New Roman"/>
                <w:sz w:val="16"/>
                <w:szCs w:val="16"/>
              </w:rPr>
              <w:t xml:space="preserve">ok. 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35 komórek/µ rekomendowana do zestawu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Stem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Cell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Enumeration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Kit lub równoważna dedykowana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FACSFlow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Sheath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Fluid płyn roboczy niezbędny do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pracy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cytometru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 20l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Stem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Cell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Enumeration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Kit do oznaczenia liczby żywych komórek CD34+ oraz ustalenia odsetka komórek CD34+ we wszystkich żywych leukocytach. Zestaw zawiera 50 probówek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trucount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, przeciwciała CD45-FITC/CD34-PE, 7-ADD oraz bufor do lizy erytrocytów lub równoważny dedykowany do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Op. 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FACSClean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płyn myjący lub równoważny dedykowany do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FACSCalibur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Panel do identyfikacji bakterii Gram dodatnich dedykowany do aparatu Phoenix lub równoważny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Panel do identyfikacji bakterii Gram dodatnich dedykowany do aparatu Phoenix lub równoważny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Bulion ID do identyfikacji dedykowany do aparatu Phoenix lub równoważny.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System środowiskowy do wytwarzania atmosfery beztlenowej. Zestaw zawierający saszetkę, wskaźnik oraz torebkę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527CA" w:rsidRDefault="008527CA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A7DB0" w:rsidRDefault="002A7DB0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I</w:t>
      </w:r>
      <w:r w:rsidRPr="00E550D4">
        <w:rPr>
          <w:rFonts w:ascii="Times New Roman" w:hAnsi="Times New Roman" w:cs="Times New Roman"/>
          <w:b/>
          <w:color w:val="000000" w:themeColor="text1"/>
        </w:rPr>
        <w:t>.</w:t>
      </w:r>
      <w:r w:rsidRPr="00E550D4">
        <w:rPr>
          <w:rFonts w:ascii="Times New Roman" w:hAnsi="Times New Roman" w:cs="Times New Roman"/>
          <w:color w:val="000000" w:themeColor="text1"/>
        </w:rPr>
        <w:t xml:space="preserve">  Materiały dedykowane do instrumentów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Sepax</w:t>
      </w:r>
      <w:proofErr w:type="spellEnd"/>
      <w:r w:rsidRPr="00E550D4">
        <w:rPr>
          <w:rFonts w:ascii="Times New Roman" w:hAnsi="Times New Roman" w:cs="Times New Roman"/>
          <w:color w:val="000000" w:themeColor="text1"/>
        </w:rPr>
        <w:t xml:space="preserve"> i Smart-Max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2A7DB0" w:rsidRPr="00946069" w:rsidTr="00584C61">
        <w:tc>
          <w:tcPr>
            <w:tcW w:w="567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Lp.</w:t>
            </w:r>
          </w:p>
        </w:tc>
        <w:tc>
          <w:tcPr>
            <w:tcW w:w="4820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Wyszczególnienie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j.m.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Ilość</w:t>
            </w:r>
          </w:p>
        </w:tc>
        <w:tc>
          <w:tcPr>
            <w:tcW w:w="2980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Opis oferowanego przedmiotu zamówienia: producent, numer katalogowy</w:t>
            </w:r>
          </w:p>
        </w:tc>
      </w:tr>
      <w:tr w:rsidR="002A7DB0" w:rsidRPr="00946069" w:rsidTr="00584C61">
        <w:tc>
          <w:tcPr>
            <w:tcW w:w="567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1.</w:t>
            </w:r>
          </w:p>
        </w:tc>
        <w:tc>
          <w:tcPr>
            <w:tcW w:w="4820" w:type="dxa"/>
          </w:tcPr>
          <w:p w:rsidR="002A7DB0" w:rsidRPr="00946069" w:rsidRDefault="002A7DB0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 xml:space="preserve">Zestaw do sterylnej preparatyki komórek macierzystych krwi pępowinowej w układzie zamkniętym. Każdy zestaw powinien być sterylny. Powinien składać się z komory separacyjnej- </w:t>
            </w:r>
            <w:proofErr w:type="spellStart"/>
            <w:r w:rsidRPr="00946069">
              <w:rPr>
                <w:rFonts w:ascii="Times New Roman" w:hAnsi="Times New Roman"/>
                <w:sz w:val="16"/>
              </w:rPr>
              <w:t>strzykawkowej</w:t>
            </w:r>
            <w:proofErr w:type="spellEnd"/>
            <w:r w:rsidRPr="00946069">
              <w:rPr>
                <w:rFonts w:ascii="Times New Roman" w:hAnsi="Times New Roman"/>
                <w:sz w:val="16"/>
              </w:rPr>
              <w:t xml:space="preserve"> o pojemności co najmniej 220ml +/-5% do której trafia materiał wejściowy i na zasadzie wirowania i odpowiedniego frakcjonowania a następnie transferu frakcji krwi, zapewnia preparatykę komórek macierzystych do formatu worka kriogenicznego o pojemności całkowitej 25 ml+/-5%, składającego się z dwóch części : 5 ml i 20ml. Zestaw powinien być kompatybilny z instrumentem Sepax-2. Wymagane dostarczenie certyfikatu.</w:t>
            </w:r>
            <w:r w:rsidR="00946069">
              <w:rPr>
                <w:rFonts w:ascii="Times New Roman" w:hAnsi="Times New Roman"/>
                <w:sz w:val="16"/>
              </w:rPr>
              <w:t xml:space="preserve"> Data ważności minimum 12 </w:t>
            </w:r>
            <w:proofErr w:type="spellStart"/>
            <w:r w:rsidR="00946069">
              <w:rPr>
                <w:rFonts w:ascii="Times New Roman" w:hAnsi="Times New Roman"/>
                <w:sz w:val="16"/>
              </w:rPr>
              <w:t>m-cy</w:t>
            </w:r>
            <w:proofErr w:type="spellEnd"/>
            <w:r w:rsidR="00946069">
              <w:rPr>
                <w:rFonts w:ascii="Times New Roman" w:hAnsi="Times New Roman"/>
                <w:sz w:val="16"/>
              </w:rPr>
              <w:t xml:space="preserve"> od dnia dostarczenia do Zamawiającego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2A7DB0" w:rsidRPr="00946069" w:rsidRDefault="00946069" w:rsidP="00584C61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</w:t>
            </w:r>
          </w:p>
        </w:tc>
        <w:tc>
          <w:tcPr>
            <w:tcW w:w="2980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</w:p>
        </w:tc>
      </w:tr>
      <w:tr w:rsidR="002A7DB0" w:rsidRPr="00946069" w:rsidTr="00584C61">
        <w:tc>
          <w:tcPr>
            <w:tcW w:w="567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2.</w:t>
            </w:r>
          </w:p>
        </w:tc>
        <w:tc>
          <w:tcPr>
            <w:tcW w:w="4820" w:type="dxa"/>
          </w:tcPr>
          <w:p w:rsidR="002A7DB0" w:rsidRPr="00946069" w:rsidRDefault="002A7DB0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 xml:space="preserve">Sterylne zestawy  przyłączeniowe, łączące strzykawki wypełnione </w:t>
            </w:r>
            <w:proofErr w:type="spellStart"/>
            <w:r w:rsidRPr="00946069">
              <w:rPr>
                <w:rFonts w:ascii="Times New Roman" w:hAnsi="Times New Roman"/>
                <w:sz w:val="16"/>
              </w:rPr>
              <w:t>DMSO</w:t>
            </w:r>
            <w:proofErr w:type="spellEnd"/>
            <w:r w:rsidRPr="00946069">
              <w:rPr>
                <w:rFonts w:ascii="Times New Roman" w:hAnsi="Times New Roman"/>
                <w:sz w:val="16"/>
              </w:rPr>
              <w:t xml:space="preserve"> z pompami perystaltycznymi urządzenia. Zestawy powinny być kompatybilne z instrumentem Smart-Max. Wymagane dostarczenie certyfikatu.</w:t>
            </w:r>
            <w:r w:rsidR="00946069">
              <w:rPr>
                <w:rFonts w:ascii="Times New Roman" w:hAnsi="Times New Roman"/>
                <w:sz w:val="16"/>
              </w:rPr>
              <w:t xml:space="preserve"> Data ważności minimum 12 </w:t>
            </w:r>
            <w:proofErr w:type="spellStart"/>
            <w:r w:rsidR="00946069">
              <w:rPr>
                <w:rFonts w:ascii="Times New Roman" w:hAnsi="Times New Roman"/>
                <w:sz w:val="16"/>
              </w:rPr>
              <w:t>m-cy</w:t>
            </w:r>
            <w:proofErr w:type="spellEnd"/>
            <w:r w:rsidR="00946069">
              <w:rPr>
                <w:rFonts w:ascii="Times New Roman" w:hAnsi="Times New Roman"/>
                <w:sz w:val="16"/>
              </w:rPr>
              <w:t xml:space="preserve"> od dnia dostarczenia do Zamawiającego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2A7DB0" w:rsidRPr="00946069" w:rsidRDefault="00946069" w:rsidP="00584C61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48</w:t>
            </w:r>
          </w:p>
        </w:tc>
        <w:tc>
          <w:tcPr>
            <w:tcW w:w="2980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884675" w:rsidRPr="00E550D4" w:rsidRDefault="00946069" w:rsidP="00B16E6E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III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odczynników dedykowanych do aparatu biochemicznego Accent-200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946069" w:rsidRPr="001E3746" w:rsidTr="00584C61">
        <w:tc>
          <w:tcPr>
            <w:tcW w:w="567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CHOL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cholesterolu całkowitego lub równoważny dedykowany do analizatora biochemicznego Accent-200,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Direct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cholesterolu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TG niezbędny do oznaczenia stężenia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trójglicerydów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Zestaw Accent-200 ALBUMIN niezbędny do oznaczenia stężenia albumin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CALCIUM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jonów wapnia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Zestaw Accent-200 MG niezbędny do oznaczenia stężenia jonów magnezu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PHOSPHORUS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jonów fosforanowych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Zestaw Accent-200 FERRUM niezbędny do oznaczenia stężenia jonów żelaza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CRP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Ultra niezbędny do wysokoczułego oznaczenia stężenia białka C-reaktywnego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Materiał kontrolny, surowica kontrolna do diagnostyki białek specyficznych lub równoważna dedykowana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CRP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Ultra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Materiał kontrolny, surowica kontrolna SERUM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równoważna dedykowana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Materiał kontrolny, surowica kontrolna SERUM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równoważna dedykowana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LDL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lastRenderedPageBreak/>
              <w:t>15.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Kalibrator,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Multicalibrator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Level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1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Kalibrator,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Multicalibrator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Level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2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17.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Roztwór czyszczący,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Acid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Washing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Solution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V.</w:t>
      </w:r>
      <w:r w:rsidR="00946069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D23B69">
        <w:rPr>
          <w:rFonts w:ascii="Times New Roman" w:hAnsi="Times New Roman" w:cs="Times New Roman"/>
          <w:color w:val="000000" w:themeColor="text1"/>
        </w:rPr>
        <w:t>Dostawa podłoży mikrobiologicznych</w:t>
      </w: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709"/>
        <w:gridCol w:w="4678"/>
        <w:gridCol w:w="709"/>
        <w:gridCol w:w="709"/>
        <w:gridCol w:w="2980"/>
      </w:tblGrid>
      <w:tr w:rsidR="00FF20D4" w:rsidRPr="00946069" w:rsidTr="00946069">
        <w:tc>
          <w:tcPr>
            <w:tcW w:w="709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Lp.</w:t>
            </w:r>
          </w:p>
        </w:tc>
        <w:tc>
          <w:tcPr>
            <w:tcW w:w="4678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Tryptic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Soy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Agar gotowe podłoże na płytkach standardowych (</w:t>
            </w:r>
            <m:oMath>
              <m:r>
                <w:rPr>
                  <w:rFonts w:ascii="Cambria Math" w:eastAsia="Times New Roman" w:hAnsi="Cambria Math"/>
                  <w:color w:val="000000"/>
                  <w:sz w:val="16"/>
                  <w:szCs w:val="16"/>
                </w:rPr>
                <m:t>∅</m:t>
              </m:r>
            </m:oMath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90 mm) z neutralizatorami środków dezynfekcyjnych, wymagane dostarczenie certyfikatu danej partii produkcyjnej, data ważności przynajmniej 2 miesiące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MRS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Sabouraud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z chloramfenikolem lub chloramfenikolem i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gentamycyną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hAnsi="Times New Roman"/>
                <w:sz w:val="22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Schaedler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hAnsi="Times New Roman"/>
                <w:sz w:val="22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Columbia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hAnsi="Times New Roman"/>
                <w:sz w:val="22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Champman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kompletne podłoże agarowe sypkie do sporządzenia, wymagane dostarczenie certyfikatu danej partii produkcyjnej, 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Schaedler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agar gotowe podłoże na płytkach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standardowych (</w:t>
            </w:r>
            <w:r w:rsidRPr="00946069">
              <w:rPr>
                <w:rFonts w:ascii="Cambria Math" w:eastAsia="Times New Roman" w:hAnsi="Cambria Math" w:cs="Cambria Math"/>
                <w:color w:val="000000"/>
                <w:sz w:val="16"/>
                <w:szCs w:val="16"/>
              </w:rPr>
              <w:t>∅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90 mm), wymagane dostarczenie certyfikatu danej partii produkcyjnej, data ważności przynajmniej 2 miesiące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8.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Kompletne podłoże agarowe sypkie do sporządzenia dedykowane do hodowli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Streptococcus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9.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Agar wzbogacony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Bulion zwykły butelkowany gotowy do rozlewania, w butelkach po 500 ml,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10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testów biochemicznych</w:t>
      </w: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709"/>
        <w:gridCol w:w="4678"/>
        <w:gridCol w:w="709"/>
        <w:gridCol w:w="709"/>
        <w:gridCol w:w="2980"/>
      </w:tblGrid>
      <w:tr w:rsidR="00946069" w:rsidRPr="00946069" w:rsidTr="00584C61">
        <w:tc>
          <w:tcPr>
            <w:tcW w:w="709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4678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grzybów drożdżopodobnych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2.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z grupy gronkowców/mikrokoków oraz akcesoriami i/lub odczynnikami wymaganymi do odczytu testu, wymagane dostarczenie certyfikatu danej partii produkcyjnej, 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3.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z grupy paciorkowców i pokrewnych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4.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z grupy pałeczek Gram(-)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beztlenowych/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mikroaerofilnych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AB6BCF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barwników i suplementów mikrobiologicznych</w:t>
      </w:r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1E3746" w:rsidTr="00946069">
        <w:tc>
          <w:tcPr>
            <w:tcW w:w="567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Sterylna, odwłókniona krew barania do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suplementacji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podłoży, butelkowana po 50 ml, wymagane dostarczenie certyfikatu danej partii produkcyjnej, data ważności przynajmniej 18 dni licząc od dnia dostarczenia suplementu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2000 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946069">
        <w:tc>
          <w:tcPr>
            <w:tcW w:w="567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barwników i odczynników niezbędny do wykonania pełnego barwienia Grama, objętość każdego odczynnika przynajmniej 200 ml lub 2x100 ml, wymagane dostarczenie certyfikatu danej partii produkcyjnej.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Op.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EC705B" w:rsidRPr="001E3746" w:rsidRDefault="00EC705B" w:rsidP="00B16E6E">
      <w:pPr>
        <w:spacing w:after="0"/>
        <w:rPr>
          <w:rFonts w:ascii="Times New Roman" w:hAnsi="Times New Roman" w:cs="Times New Roman"/>
        </w:rPr>
      </w:pPr>
    </w:p>
    <w:p w:rsidR="00AB6BCF" w:rsidRDefault="00AB6BCF" w:rsidP="00AB6BCF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DMSO</w:t>
      </w:r>
      <w:proofErr w:type="spellEnd"/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3"/>
      </w:tblGrid>
      <w:tr w:rsidR="0037341F" w:rsidRPr="001E3746" w:rsidTr="00230F59">
        <w:trPr>
          <w:trHeight w:val="714"/>
        </w:trPr>
        <w:tc>
          <w:tcPr>
            <w:tcW w:w="567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4820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7341F" w:rsidRPr="001E3746" w:rsidTr="00E02F88">
        <w:tc>
          <w:tcPr>
            <w:tcW w:w="567" w:type="dxa"/>
          </w:tcPr>
          <w:p w:rsidR="0037341F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37341F" w:rsidRPr="00AB6BCF" w:rsidRDefault="00AB6BCF" w:rsidP="00546A87">
            <w:pPr>
              <w:jc w:val="both"/>
              <w:rPr>
                <w:rFonts w:ascii="Times New Roman" w:hAnsi="Times New Roman"/>
              </w:rPr>
            </w:pPr>
            <w:r w:rsidRPr="00AB6BCF">
              <w:rPr>
                <w:rFonts w:ascii="Times New Roman" w:hAnsi="Times New Roman"/>
                <w:sz w:val="16"/>
              </w:rPr>
              <w:t xml:space="preserve">Jałowe 55% </w:t>
            </w:r>
            <w:proofErr w:type="spellStart"/>
            <w:r w:rsidRPr="00AB6BCF">
              <w:rPr>
                <w:rFonts w:ascii="Times New Roman" w:hAnsi="Times New Roman"/>
                <w:sz w:val="16"/>
              </w:rPr>
              <w:t>DMSO</w:t>
            </w:r>
            <w:proofErr w:type="spellEnd"/>
            <w:r w:rsidRPr="00AB6BCF">
              <w:rPr>
                <w:rFonts w:ascii="Times New Roman" w:hAnsi="Times New Roman"/>
                <w:sz w:val="16"/>
              </w:rPr>
              <w:t xml:space="preserve">, 5% Dekstran-40, fiolka 7,2-8 ml, wymagane dostarczenie certyfikatu. Produkt do </w:t>
            </w:r>
            <w:proofErr w:type="spellStart"/>
            <w:r w:rsidRPr="00AB6BCF">
              <w:rPr>
                <w:rFonts w:ascii="Times New Roman" w:hAnsi="Times New Roman"/>
                <w:sz w:val="16"/>
              </w:rPr>
              <w:t>krioprezerwacji</w:t>
            </w:r>
            <w:proofErr w:type="spellEnd"/>
            <w:r w:rsidRPr="00AB6BCF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37341F" w:rsidRPr="00D23B69" w:rsidRDefault="00AB6BCF" w:rsidP="00D97417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D23B69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37341F" w:rsidRPr="00D23B69" w:rsidRDefault="00AB6BCF" w:rsidP="00D97417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D23B69">
              <w:rPr>
                <w:rFonts w:ascii="Times New Roman" w:hAnsi="Times New Roman"/>
                <w:sz w:val="16"/>
              </w:rPr>
              <w:t>150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3A0F6C" w:rsidRPr="001E3746" w:rsidRDefault="003A0F6C" w:rsidP="00E02F88">
      <w:pPr>
        <w:spacing w:after="0"/>
        <w:rPr>
          <w:rFonts w:ascii="Times New Roman" w:hAnsi="Times New Roman" w:cs="Times New Roman"/>
        </w:rPr>
      </w:pPr>
    </w:p>
    <w:p w:rsidR="0037341F" w:rsidRDefault="00546A87" w:rsidP="00E02F88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 xml:space="preserve">Zadanie </w:t>
      </w:r>
      <w:r w:rsidR="00FF20D4" w:rsidRPr="00E550D4">
        <w:rPr>
          <w:rFonts w:ascii="Times New Roman" w:hAnsi="Times New Roman" w:cs="Times New Roman"/>
          <w:b/>
          <w:color w:val="000000" w:themeColor="text1"/>
        </w:rPr>
        <w:t>V</w:t>
      </w:r>
      <w:r w:rsidR="00AB6BCF" w:rsidRPr="00E550D4">
        <w:rPr>
          <w:rFonts w:ascii="Times New Roman" w:hAnsi="Times New Roman" w:cs="Times New Roman"/>
          <w:b/>
          <w:color w:val="000000" w:themeColor="text1"/>
        </w:rPr>
        <w:t>III</w:t>
      </w:r>
      <w:r w:rsidR="00E02F88" w:rsidRPr="00E550D4">
        <w:rPr>
          <w:rFonts w:ascii="Times New Roman" w:hAnsi="Times New Roman" w:cs="Times New Roman"/>
          <w:b/>
          <w:color w:val="000000" w:themeColor="text1"/>
        </w:rPr>
        <w:t>.</w:t>
      </w:r>
      <w:r w:rsidR="00E02F88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D23B69">
        <w:rPr>
          <w:rFonts w:ascii="Times New Roman" w:hAnsi="Times New Roman" w:cs="Times New Roman"/>
          <w:color w:val="000000" w:themeColor="text1"/>
        </w:rPr>
        <w:t>Dostawa środków dezynfekcyjnych</w:t>
      </w:r>
    </w:p>
    <w:p w:rsidR="00230F59" w:rsidRDefault="00230F59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862"/>
        <w:gridCol w:w="2971"/>
      </w:tblGrid>
      <w:tr w:rsidR="00E02F88" w:rsidRPr="001E3746" w:rsidTr="002A7DB0">
        <w:tc>
          <w:tcPr>
            <w:tcW w:w="567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62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Dwa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 rodzaje środka do szybkiej dezynfekcji małych powierzchni, każdy na bazie innych substancji czynnych, gotowe do użycia. Czas działania dla HIV,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HBV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 i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HCV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 do 1 minuty. Spektrum działania: bakteriobójczy,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prątkobójczy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grzybobójczy, wirusobójczy (HIV,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HBV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HCV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Adenowirus,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Norowirus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Vacciniawirus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Poliomawirus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), opakowanie butelka 1 l ze spryskiwaczem, wymagane dostarczenie karty charakterystyki oraz certyfikatu od producenta.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100</w:t>
            </w:r>
          </w:p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(50+50)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 xml:space="preserve">Środek do dezynfekcji i mycia dużych powierzchni Spektrum działania: bakteriobójczy,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prątkobójczy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grzybobójczy, wirusobójczy (HIV,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HBV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HCV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Norowirus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Vacciniawirus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Poliomawirus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>), opakowanie kanister 5 l z pompką dozującą, wymagane dostarczenie karty charakterystyki oraz certyfikatu od producenta.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 xml:space="preserve">Gaziki do dezynfekcji skóry przed iniekcją o wymiarach ok. 10 cm x 10cm;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color w:val="000000" w:themeColor="text1"/>
                <w:sz w:val="16"/>
                <w:lang w:eastAsia="nl-NL"/>
              </w:rPr>
              <w:t xml:space="preserve">Preparat na bazie nadwęglanu sodu do manualnego mycia i dezynfekcji narzędzi medycznych. Opakowanie 1,5 </w:t>
            </w:r>
            <w:proofErr w:type="spellStart"/>
            <w:r w:rsidRPr="00AB6BCF">
              <w:rPr>
                <w:rFonts w:ascii="Times New Roman" w:hAnsi="Times New Roman"/>
                <w:color w:val="000000" w:themeColor="text1"/>
                <w:sz w:val="16"/>
                <w:lang w:eastAsia="nl-NL"/>
              </w:rPr>
              <w:t>kg</w:t>
            </w:r>
            <w:proofErr w:type="spellEnd"/>
            <w:r w:rsidRPr="00AB6BCF">
              <w:rPr>
                <w:rFonts w:ascii="Times New Roman" w:hAnsi="Times New Roman"/>
                <w:color w:val="000000" w:themeColor="text1"/>
                <w:sz w:val="16"/>
                <w:lang w:eastAsia="nl-N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230F59" w:rsidRDefault="00230F59" w:rsidP="00584C61">
      <w:pPr>
        <w:spacing w:after="0"/>
        <w:rPr>
          <w:rFonts w:ascii="Times New Roman" w:hAnsi="Times New Roman" w:cs="Times New Roman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IX.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zestawów do oznaczenia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p-ciał</w:t>
      </w:r>
      <w:proofErr w:type="spellEnd"/>
      <w:r w:rsidRPr="00E550D4">
        <w:rPr>
          <w:rFonts w:ascii="Times New Roman" w:hAnsi="Times New Roman" w:cs="Times New Roman"/>
          <w:color w:val="000000" w:themeColor="text1"/>
        </w:rPr>
        <w:t xml:space="preserve"> anty-HIV</w:t>
      </w:r>
    </w:p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rPr>
          <w:trHeight w:val="569"/>
        </w:trPr>
        <w:tc>
          <w:tcPr>
            <w:tcW w:w="567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4"/>
              </w:rPr>
            </w:pPr>
            <w:r w:rsidRPr="00584C61">
              <w:rPr>
                <w:rFonts w:ascii="Times New Roman" w:hAnsi="Times New Roman"/>
                <w:sz w:val="14"/>
              </w:rPr>
              <w:t>1.</w:t>
            </w:r>
          </w:p>
        </w:tc>
        <w:tc>
          <w:tcPr>
            <w:tcW w:w="4820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Diagnostyczny (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IVD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>) test immunoenzymatyczny (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ELISA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) do wykrywania przeciwciał anty-HIV 1 (w tym grupy O) i anty-HIV 2 oraz antygenu p24 (test COMBO) w surowicy krwi ludzkiej firmy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DiaSorin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lub równoważny. Zestaw zawierający płytkę 96-dołkową (12 wyłamywanych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stripów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x 8 dołków </w:t>
            </w:r>
            <w:proofErr w:type="spellStart"/>
            <w:r w:rsidRPr="00584C61">
              <w:rPr>
                <w:rFonts w:ascii="Times New Roman" w:hAnsi="Times New Roman"/>
                <w:b/>
                <w:bCs/>
                <w:sz w:val="16"/>
              </w:rPr>
              <w:t>okrągłodennych</w:t>
            </w:r>
            <w:proofErr w:type="spellEnd"/>
            <w:r w:rsidRPr="00584C61">
              <w:rPr>
                <w:rFonts w:ascii="Times New Roman" w:hAnsi="Times New Roman"/>
                <w:b/>
                <w:bCs/>
                <w:sz w:val="16"/>
              </w:rPr>
              <w:t xml:space="preserve"> przezroczystych</w:t>
            </w:r>
            <w:r w:rsidRPr="00584C61">
              <w:rPr>
                <w:rFonts w:ascii="Times New Roman" w:hAnsi="Times New Roman"/>
                <w:sz w:val="16"/>
              </w:rPr>
              <w:t xml:space="preserve">). Płytka winna być jedną ze wykazanych w dołączonym do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SIWZ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Załączniku nr 10. W związku z powyższym Wykonawca powinien uzupełnić wspomniany Załącznik poprzez zaznaczenie płytki używanej w teście. Zestaw powinien zawierać komplet wszystkich niezbędnych </w:t>
            </w:r>
            <w:r w:rsidRPr="00584C61">
              <w:rPr>
                <w:rFonts w:ascii="Times New Roman" w:hAnsi="Times New Roman"/>
              </w:rPr>
              <w:t>odczynników</w:t>
            </w:r>
            <w:r w:rsidRPr="00584C61">
              <w:rPr>
                <w:rFonts w:ascii="Times New Roman" w:hAnsi="Times New Roman"/>
                <w:sz w:val="16"/>
              </w:rPr>
              <w:t xml:space="preserve">. Zestaw powinien charakteryzować się swoistością na poziomie minimum 99,5%. Wykonawca zobowiązany jest do przygotowania aplikacji procesowej w siedzibie Zamawiającego na udostępnionym przez niego sprzęcie (czytnik płytek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Tecan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Infinite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M200PRO, automatyczna płuczka mikropłytek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Tecan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hydroFLEX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>) oraz sprawdzenia poprawności działania testu na własny koszt.</w:t>
            </w:r>
            <w:r w:rsidRPr="00584C61">
              <w:rPr>
                <w:kern w:val="0"/>
                <w:sz w:val="22"/>
                <w:szCs w:val="22"/>
                <w:lang w:eastAsia="en-US"/>
              </w:rPr>
              <w:t xml:space="preserve"> </w:t>
            </w:r>
            <w:r w:rsidRPr="00584C61">
              <w:rPr>
                <w:rFonts w:ascii="Times New Roman" w:hAnsi="Times New Roman"/>
                <w:sz w:val="16"/>
              </w:rPr>
              <w:t xml:space="preserve">Wykonawca winien przedstawić dowody, iż </w:t>
            </w:r>
            <w:r w:rsidRPr="00584C61">
              <w:rPr>
                <w:rFonts w:ascii="Times New Roman" w:hAnsi="Times New Roman"/>
                <w:b/>
                <w:bCs/>
                <w:sz w:val="16"/>
              </w:rPr>
              <w:t>oferowane zestawy</w:t>
            </w:r>
            <w:r w:rsidRPr="00584C61">
              <w:rPr>
                <w:rFonts w:ascii="Times New Roman" w:hAnsi="Times New Roman"/>
                <w:sz w:val="16"/>
              </w:rPr>
              <w:t xml:space="preserve"> używane są/były w laboratoriach medycznych działających w obrębie szpitali/klinik/przychodni zakaźnych, bądź wykonywały na ich zlecenie badania. </w:t>
            </w:r>
          </w:p>
        </w:tc>
        <w:tc>
          <w:tcPr>
            <w:tcW w:w="709" w:type="dxa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w="2980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</w:t>
      </w:r>
      <w:r w:rsidRPr="00E550D4">
        <w:rPr>
          <w:rFonts w:ascii="Times New Roman" w:hAnsi="Times New Roman" w:cs="Times New Roman"/>
          <w:color w:val="000000" w:themeColor="text1"/>
        </w:rPr>
        <w:t>. Dostawa zestawów do izolacji DNA</w:t>
      </w:r>
    </w:p>
    <w:tbl>
      <w:tblPr>
        <w:tblStyle w:val="Tabela-Siatka"/>
        <w:tblW w:w="0" w:type="auto"/>
        <w:tblInd w:w="-572" w:type="dxa"/>
        <w:tblLook w:val="04A0"/>
      </w:tblPr>
      <w:tblGrid>
        <w:gridCol w:w="489"/>
        <w:gridCol w:w="4756"/>
        <w:gridCol w:w="723"/>
        <w:gridCol w:w="709"/>
        <w:gridCol w:w="2971"/>
      </w:tblGrid>
      <w:tr w:rsidR="00FF20D4" w:rsidRPr="001E3746" w:rsidTr="00584C61">
        <w:tc>
          <w:tcPr>
            <w:tcW w:w="48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756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23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489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eastAsia="Times New Roman" w:hAnsi="Times New Roman"/>
                <w:sz w:val="16"/>
                <w:szCs w:val="18"/>
              </w:rPr>
            </w:pPr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1.</w:t>
            </w:r>
          </w:p>
        </w:tc>
        <w:tc>
          <w:tcPr>
            <w:tcW w:w="4756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18"/>
              </w:rPr>
            </w:pPr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 xml:space="preserve">Zestaw do izolacji genomowego DNA metodą grawitacyjną bez użycia wirówki z krwi świeżej lub mrożonej, </w:t>
            </w:r>
            <w:r w:rsidRPr="00584C61">
              <w:rPr>
                <w:rFonts w:ascii="Times New Roman" w:hAnsi="Times New Roman"/>
                <w:sz w:val="16"/>
                <w:szCs w:val="18"/>
              </w:rPr>
              <w:t xml:space="preserve">wielkość próbki: 20-100 µl; roztwory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8"/>
              </w:rPr>
              <w:t>elucji</w:t>
            </w:r>
            <w:proofErr w:type="spellEnd"/>
            <w:r w:rsidRPr="00584C61">
              <w:rPr>
                <w:rFonts w:ascii="Times New Roman" w:hAnsi="Times New Roman"/>
                <w:sz w:val="16"/>
                <w:szCs w:val="18"/>
              </w:rPr>
              <w:t xml:space="preserve">: bufor o wysokim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8"/>
              </w:rPr>
              <w:t>pH</w:t>
            </w:r>
            <w:proofErr w:type="spellEnd"/>
            <w:r w:rsidRPr="00584C61">
              <w:rPr>
                <w:rFonts w:ascii="Times New Roman" w:hAnsi="Times New Roman"/>
                <w:sz w:val="16"/>
                <w:szCs w:val="18"/>
              </w:rPr>
              <w:t xml:space="preserve">, bez precypitacji etanolem, DNA gotowy do użycia bezpośrednio po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8"/>
              </w:rPr>
              <w:t>elucji</w:t>
            </w:r>
            <w:proofErr w:type="spellEnd"/>
            <w:r w:rsidRPr="00584C61">
              <w:rPr>
                <w:rFonts w:ascii="Times New Roman" w:hAnsi="Times New Roman"/>
                <w:sz w:val="16"/>
                <w:szCs w:val="18"/>
              </w:rPr>
              <w:t>, dostarczany wraz z proteinazą K gotową do użycia; zestaw</w:t>
            </w:r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 xml:space="preserve"> z minimalną datą ważności równą rok od daty dostarczenia do siedziby zamawiającego; nr katalogowy zestawu </w:t>
            </w:r>
            <w:proofErr w:type="spellStart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A&amp;A</w:t>
            </w:r>
            <w:proofErr w:type="spellEnd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 xml:space="preserve"> </w:t>
            </w:r>
            <w:proofErr w:type="spellStart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Biotechnology</w:t>
            </w:r>
            <w:proofErr w:type="spellEnd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: 101-100 lub równoważny. Opakowanie 100 izolacji.</w:t>
            </w:r>
          </w:p>
        </w:tc>
        <w:tc>
          <w:tcPr>
            <w:tcW w:w="723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584C61">
              <w:rPr>
                <w:rFonts w:ascii="Times New Roman" w:hAnsi="Times New Roman"/>
                <w:sz w:val="16"/>
                <w:szCs w:val="18"/>
              </w:rPr>
              <w:t>Izolacja</w:t>
            </w:r>
          </w:p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584C61">
              <w:rPr>
                <w:rFonts w:ascii="Times New Roman" w:hAnsi="Times New Roman"/>
                <w:sz w:val="16"/>
                <w:szCs w:val="18"/>
              </w:rPr>
              <w:t>500</w:t>
            </w:r>
          </w:p>
        </w:tc>
        <w:tc>
          <w:tcPr>
            <w:tcW w:w="2971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 xml:space="preserve">Zadanie XI. </w:t>
      </w:r>
      <w:r w:rsidRPr="00E550D4">
        <w:rPr>
          <w:rFonts w:ascii="Times New Roman" w:hAnsi="Times New Roman" w:cs="Times New Roman"/>
          <w:color w:val="000000" w:themeColor="text1"/>
        </w:rPr>
        <w:t xml:space="preserve">Dostawa odczynników dedykowanych do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fluorymetru</w:t>
      </w:r>
      <w:proofErr w:type="spellEnd"/>
      <w:r w:rsidRPr="00E550D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Quantus</w:t>
      </w:r>
      <w:proofErr w:type="spellEnd"/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670"/>
        <w:gridCol w:w="708"/>
        <w:gridCol w:w="2839"/>
      </w:tblGrid>
      <w:tr w:rsidR="000E0105" w:rsidRPr="001E3746" w:rsidTr="00584C61">
        <w:tc>
          <w:tcPr>
            <w:tcW w:w="567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Odczynnik dedykowany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fluorymetru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Quantus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Promega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) zawierający barwnik fluorescencyjny wiążący DNA, który umożliwia czuły pomiar niskich stężeń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dsDNA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pomiar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Odczynnik dedykowany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fluorymetru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Quantus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Promega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) zawierający barwnik fluorescencyjny wiążący DNA, który umożliwia czuły pomiar niskich stężeń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ssDNA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pomiar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Probówki typu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eppendorf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o objętości 0,5 ml. dedykowane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fluorymetru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Quantus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Promega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1000 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zestawów do izolacji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cfDNA</w:t>
      </w:r>
      <w:proofErr w:type="spellEnd"/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714"/>
        <w:gridCol w:w="708"/>
        <w:gridCol w:w="2839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/>
                <w:sz w:val="16"/>
                <w:lang w:eastAsia="ar-SA"/>
              </w:rPr>
            </w:pPr>
            <w:r w:rsidRPr="00584C61">
              <w:rPr>
                <w:rFonts w:ascii="Times New Roman" w:hAnsi="Times New Roman"/>
                <w:sz w:val="16"/>
                <w:lang w:eastAsia="ar-SA"/>
              </w:rPr>
              <w:t>1.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/>
                <w:sz w:val="16"/>
                <w:lang w:eastAsia="ar-SA"/>
              </w:rPr>
            </w:pPr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Zestaw kolumienkowy przeznaczony do zagęszczania i oczyszczania wolno krążącego DNA, </w:t>
            </w:r>
            <w:proofErr w:type="spellStart"/>
            <w:r w:rsidRPr="00584C61">
              <w:rPr>
                <w:rFonts w:ascii="Times New Roman" w:hAnsi="Times New Roman"/>
                <w:sz w:val="16"/>
                <w:lang w:eastAsia="ar-SA"/>
              </w:rPr>
              <w:t>RNA</w:t>
            </w:r>
            <w:proofErr w:type="spellEnd"/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, </w:t>
            </w:r>
            <w:proofErr w:type="spellStart"/>
            <w:r w:rsidRPr="00584C61">
              <w:rPr>
                <w:rFonts w:ascii="Times New Roman" w:hAnsi="Times New Roman"/>
                <w:sz w:val="16"/>
                <w:lang w:eastAsia="ar-SA"/>
              </w:rPr>
              <w:t>miRNA</w:t>
            </w:r>
            <w:proofErr w:type="spellEnd"/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, wirusowego DNA i </w:t>
            </w:r>
            <w:proofErr w:type="spellStart"/>
            <w:r w:rsidRPr="00584C61">
              <w:rPr>
                <w:rFonts w:ascii="Times New Roman" w:hAnsi="Times New Roman"/>
                <w:sz w:val="16"/>
                <w:lang w:eastAsia="ar-SA"/>
              </w:rPr>
              <w:t>RNA</w:t>
            </w:r>
            <w:proofErr w:type="spellEnd"/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 z osocza, surowicy krwi, moczu i innych ubogo komórkowych płynów ciała; </w:t>
            </w:r>
            <w:r w:rsidRPr="00584C61">
              <w:rPr>
                <w:rFonts w:ascii="Times New Roman" w:hAnsi="Times New Roman"/>
                <w:sz w:val="16"/>
              </w:rPr>
              <w:t xml:space="preserve">wszystkie składniki zestawu muszą mieć przynajmniej 1 rok ważności po dostarczeniu – odpowiednie zapisy muszą być zawarte w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manualu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producenta;</w:t>
            </w:r>
            <w:r w:rsidRPr="00584C61">
              <w:rPr>
                <w:rFonts w:ascii="Times New Roman" w:eastAsia="Times New Roman" w:hAnsi="Times New Roman"/>
                <w:sz w:val="16"/>
              </w:rPr>
              <w:t xml:space="preserve"> </w:t>
            </w:r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zestaw w wersji probówkowej do użycia z </w:t>
            </w:r>
            <w:r w:rsidRPr="00584C61">
              <w:rPr>
                <w:rFonts w:ascii="Times New Roman" w:hAnsi="Times New Roman"/>
                <w:color w:val="000000" w:themeColor="text1"/>
                <w:sz w:val="16"/>
                <w:lang w:eastAsia="ar-SA"/>
              </w:rPr>
              <w:t xml:space="preserve">wykorzystaniem pompy wytwarzającej podciśnienie od -800 do -900 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  <w:lang w:eastAsia="ar-SA"/>
              </w:rPr>
              <w:t>mbar</w:t>
            </w:r>
            <w:proofErr w:type="spellEnd"/>
            <w:r w:rsidRPr="00584C61">
              <w:rPr>
                <w:rFonts w:ascii="Times New Roman" w:eastAsia="Times New Roman" w:hAnsi="Times New Roman"/>
                <w:color w:val="000000" w:themeColor="text1"/>
                <w:sz w:val="16"/>
              </w:rPr>
              <w:t xml:space="preserve">; </w:t>
            </w:r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zestaw wystarczający na przeprowadzenie 50 izolacji musi zawierać: 50 mini-kolumn, 50 nakładek na kolumny (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tube</w:t>
            </w:r>
            <w:proofErr w:type="spellEnd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extenders</w:t>
            </w:r>
            <w:proofErr w:type="spellEnd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 xml:space="preserve"> 20 ml), proteinazę K, nośnik 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RNA</w:t>
            </w:r>
            <w:proofErr w:type="spellEnd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, 5 buforów, złączki do kolektora próżniowego, probówki 1,5 i 2 ml (po 50 sztuk każdego rodzaju);</w:t>
            </w:r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 każda kolumna zapakowana oddzielnie; proteinaza K dostarczona w formie rozpuszczonej w specjalnym buforze gwarantującym stabilność odczynnika w temperaturze pokojowej przez 12 miesięcy, co powinno by udokumentowane w instrukcji;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nr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. katalogowy zestawu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QIAGEN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>: 55114 lub równoważny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izolacja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50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</w:t>
      </w:r>
      <w:r w:rsidR="00230F59">
        <w:rPr>
          <w:rFonts w:ascii="Times New Roman" w:hAnsi="Times New Roman" w:cs="Times New Roman"/>
          <w:color w:val="000000" w:themeColor="text1"/>
        </w:rPr>
        <w:t>probówko strzykawek</w:t>
      </w:r>
    </w:p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 xml:space="preserve">Neutralne probówko-strzykawki o pojemności 2,6-3ml, niezawierające czynników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24"/>
              </w:rPr>
              <w:t>wykrzepiania</w:t>
            </w:r>
            <w:proofErr w:type="spellEnd"/>
            <w:r w:rsidRPr="00584C61">
              <w:rPr>
                <w:rFonts w:ascii="Times New Roman" w:hAnsi="Times New Roman"/>
                <w:sz w:val="16"/>
                <w:szCs w:val="24"/>
              </w:rPr>
              <w:t xml:space="preserve"> ani antykoagulantów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1500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>Igły z adapterem kompatybilne do probówko-strzykawek o pojemności 2,6-3ml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1500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color w:val="000000"/>
                <w:sz w:val="16"/>
                <w:szCs w:val="24"/>
              </w:rPr>
            </w:pPr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3.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Probówko-strzykawki z EDTA-3K do morfologii na ok. 2,6-3 ml, do zamkniętego systemu poboru, kompatybilne z igłą/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multiadapterem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 xml:space="preserve"> typu 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Sangocan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 xml:space="preserve"> 21G (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Kabe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Labortechnik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 xml:space="preserve">1000 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XIV.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metalowych raków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2339EF" w:rsidRPr="001E3746" w:rsidTr="0067592C">
        <w:tc>
          <w:tcPr>
            <w:tcW w:w="567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Metalowe raki, wykonane ze stali nierdzewnej gr. 1 mm, dedykowane do przechowywania materiału biologicznego w parach ciekłego azotu o temp. -196°C, stanowiące doposażenie obecnie posiadanych przez Zamawiającego raków. Kompatybilne ze zbiornikami do przechowywania komórek macierzystych firmy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MVE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Chart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Biomedical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800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Series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- 190 oraz oprogramowaniem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Cryobase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do archiwizacji próbek w zbiornikach, będących w posiadaniu użytkownika. Każdy rak powinien pomieścić 8 metalowych kaset (8 pięter) o wymiarach wysokość 80 mm x długość 95 mm x szerokość 11 mm umieszczonych pionowo. Raki powinny być wyposażone w przyspawany na górze uchwyt metalowy, zapewniający bezpieczne i wygodne wyciąganie raków ze zbiornika. Na powyższym uchwycie powinna znajdować się tabliczka znamionowa, przyspawana na stałe, z umieszczoną numeracją alfa-numeryczną kolejnych raków w formacie 00A lub 001 (dokładna lista numerów zostanie przesłana wraz z ewentualnym zleceniem wykonania). O wymiarach zbliżonych do obecnie posiadanych raków: wysokość 660 mm x długość 100 mm x szerokość 15 mm, wysokość uchwytu 30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mm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2339EF" w:rsidRDefault="002339EF" w:rsidP="00EA17B5">
      <w:pPr>
        <w:spacing w:after="0"/>
        <w:rPr>
          <w:rFonts w:ascii="Times New Roman" w:hAnsi="Times New Roman" w:cs="Times New Roman"/>
        </w:rPr>
      </w:pPr>
    </w:p>
    <w:p w:rsidR="00EA17B5" w:rsidRDefault="00EA17B5" w:rsidP="00EA17B5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XV.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materiałów zużywalnych</w:t>
      </w:r>
    </w:p>
    <w:p w:rsidR="00230F59" w:rsidRDefault="00230F59" w:rsidP="00EA17B5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</w:t>
      </w:r>
      <w:r w:rsidRPr="00230F59">
        <w:rPr>
          <w:rFonts w:ascii="Times New Roman" w:hAnsi="Times New Roman" w:cs="Times New Roman"/>
          <w:b/>
          <w:color w:val="000000" w:themeColor="text1"/>
        </w:rPr>
        <w:t>dla produktów określonych w pozycji 7, 8, 9, 1</w:t>
      </w:r>
      <w:r>
        <w:rPr>
          <w:rFonts w:ascii="Times New Roman" w:hAnsi="Times New Roman" w:cs="Times New Roman"/>
          <w:b/>
          <w:color w:val="000000" w:themeColor="text1"/>
        </w:rPr>
        <w:t>0</w:t>
      </w:r>
      <w:r w:rsidRPr="00230F5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EA17B5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584C61" w:rsidRPr="001E3746" w:rsidTr="00584C61">
        <w:tc>
          <w:tcPr>
            <w:tcW w:w="567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Flizelinowe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ochraniacze na obuwie (w rozumieniu Zamawiającego 1  sztuk a = 1 ochraniacz)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1 600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lateksowe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L (w  rozumieniu Zamawiającego 1  sztuk 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lateksowe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M (w  rozumieniu Zamawiającego 1 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lateksowe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S (w  rozumieniu Zamawiającego 1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nitrylowe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M (w rozumieniu Zamawiającego 1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nitrylowe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S (w rozumieniu Zamawiającego 1 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Kompresy z gazy opatrunkowej, jałowe, z zawijanymi krawędziami, 10x10, pakowane po 2 lub 3 kompresy w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blistrze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>/saszetce (W rozumieniu Zamawiającego 1   sztukę stanowi pojedynczy kompres - np. w przypadku kompresów pakowanych po 2 w saszetce, jedna saszetka stanowi 2   sztuki)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9 000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Kompresy z gazy opatrunkowej, jałowe, z zawijanymi krawędziami, 5x5, pakowane po 2 lub 3 kompresy w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blistrze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>/saszetce (W rozumieniu Zamawiającego 1  sztukę stanowi pojedynczy kompres - np. w przypadku kompresów pakowanych po 2 w saszetce, jedna saszetka stanowi 2   sztuki)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3 000   </w:t>
            </w:r>
          </w:p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Kompresy z gazy niejałowe 10x10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10 000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Rękaw papierowo-foliowy do sterylizacji parą wodną, 30 cm/200 m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rolka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2 </w:t>
            </w:r>
          </w:p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Pojemnik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twardościenny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 kolor czerwony, pojemność 0,7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100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Pojemnik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twardościenny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 kolor czerwony, pojemność 2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300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czerwony, pojemność 120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400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czerwony, pojemność 60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400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15.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żółty, pojemność 120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200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żółty, pojemność 60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200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</w:tbl>
    <w:p w:rsidR="00C21D35" w:rsidRPr="00E550D4" w:rsidRDefault="00C21D35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XVI.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końcówek do pipet i probówek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820"/>
        <w:gridCol w:w="851"/>
        <w:gridCol w:w="746"/>
        <w:gridCol w:w="3028"/>
      </w:tblGrid>
      <w:tr w:rsidR="002C62B4" w:rsidRPr="001E3746" w:rsidTr="00C21D35"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1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1,5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Safe-Lock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oraz z płaskim, matowym wieczkiem umożliwiającym oznaczanie prób, pozwalające na mrożenie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2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Safe-Lock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oraz z płaskim, matowym wieczkiem umożliwiającym oznaczanie prób, pozwalające na mroże</w:t>
            </w:r>
            <w:bookmarkStart w:id="0" w:name="_GoBack"/>
            <w:bookmarkEnd w:id="0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kontroli jakości dla każdej serii produktu w momencie dostawy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Końcówki z filtrem, </w:t>
            </w:r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 xml:space="preserve">producenta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sterylne, do pipet o pojemności 0,5-10 µl (przeznaczone do stosowania z pipetą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Research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plus) lub równoważne.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  <w:r w:rsidR="00C21D35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Opakowanie jednostkowe pudełko zawierające 96 końcówek</w:t>
            </w:r>
          </w:p>
        </w:tc>
        <w:tc>
          <w:tcPr>
            <w:tcW w:w="851" w:type="dxa"/>
          </w:tcPr>
          <w:p w:rsidR="002C62B4" w:rsidRPr="002C62B4" w:rsidRDefault="00C21D35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pudełko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C21D3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Końcówki z filtrem, </w:t>
            </w:r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 xml:space="preserve">producenta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sterylne, do pipet o pojemności 2-200 µl (przeznaczone do stosowania z pipetą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Research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plus) lub równoważne.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  <w:r w:rsidR="00C21D35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Opakowanie jednostkowe pudełko zawierające 96 końcówek</w:t>
            </w:r>
          </w:p>
        </w:tc>
        <w:tc>
          <w:tcPr>
            <w:tcW w:w="851" w:type="dxa"/>
          </w:tcPr>
          <w:p w:rsidR="002C62B4" w:rsidRPr="002C62B4" w:rsidRDefault="00C21D35" w:rsidP="00C21D3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pudełko</w:t>
            </w:r>
          </w:p>
        </w:tc>
        <w:tc>
          <w:tcPr>
            <w:tcW w:w="746" w:type="dxa"/>
          </w:tcPr>
          <w:p w:rsidR="002C62B4" w:rsidRPr="00EA17B5" w:rsidRDefault="00C21D35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</w:t>
            </w:r>
            <w:r w:rsidR="002C62B4"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Końcówki z filtrem, </w:t>
            </w:r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 xml:space="preserve">producenta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sterylne, do pipet o pojemności 100-1000 µl (przeznaczone do stosowania z pipetą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Research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plus) lub równoważne.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  <w:r w:rsidR="00C21D35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Opakowanie jednostkowe pudełko zawierające 96 końcówek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C21D35" w:rsidP="00C21D3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pudełko</w:t>
            </w:r>
          </w:p>
        </w:tc>
        <w:tc>
          <w:tcPr>
            <w:tcW w:w="746" w:type="dxa"/>
          </w:tcPr>
          <w:p w:rsidR="002C62B4" w:rsidRPr="00EA17B5" w:rsidRDefault="00C21D35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do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PCR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o objętości 0,2 ml,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przeźroczyste, z płaskim (preferowane) lub wypukłym wieczkiem, pojedyncze, podlegające sterylizacji termicznej (121°C). Kompatybilne z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termocyklerem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Mastercycler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Nexus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firmy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C21D35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C21D35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</w:tbl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3E756B" w:rsidRDefault="003E756B" w:rsidP="003E756B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XVII.</w:t>
      </w:r>
      <w:r w:rsidRPr="00C21D35">
        <w:rPr>
          <w:rFonts w:ascii="Times New Roman" w:hAnsi="Times New Roman" w:cs="Times New Roman"/>
          <w:color w:val="000000" w:themeColor="text1"/>
        </w:rPr>
        <w:t xml:space="preserve"> Dostawa materiałów laboratoryjnych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820"/>
        <w:gridCol w:w="851"/>
        <w:gridCol w:w="746"/>
        <w:gridCol w:w="3028"/>
      </w:tblGrid>
      <w:tr w:rsidR="003E756B" w:rsidRPr="001E3746" w:rsidTr="00410F8E">
        <w:tc>
          <w:tcPr>
            <w:tcW w:w="567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1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Probówki typu falkon, o pojemności 15 ml, sterylne z nakrętkami,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stożkowodenne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z podziałką, o wymiarach ok. 17x120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mm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. Termin ważności produktu: minimum 3 lata od daty dostarczenia do siedziby Zamawiającego.</w:t>
            </w:r>
          </w:p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3E756B" w:rsidRPr="00C21D35" w:rsidRDefault="003E756B" w:rsidP="00410F8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  <w:vAlign w:val="center"/>
          </w:tcPr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Pipety serologiczne, sterylne, pakowane pojedynczo, o pojemności 10 ml, z podziałką. Termin ważności produktu: minimum 3 lata od daty dostarczenia do siedziby Zamawiającego.</w:t>
            </w:r>
          </w:p>
        </w:tc>
        <w:tc>
          <w:tcPr>
            <w:tcW w:w="851" w:type="dxa"/>
          </w:tcPr>
          <w:p w:rsidR="003E756B" w:rsidRDefault="003E756B" w:rsidP="00410F8E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  <w:vAlign w:val="center"/>
          </w:tcPr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Pipety serologiczne, sterylne, pakowane pojedynczo, o pojemności 25 ml, z podziałką. Termin ważności produktu: minimum 3 lata od daty dostarczenia do siedziby Zamawiającego.</w:t>
            </w:r>
          </w:p>
        </w:tc>
        <w:tc>
          <w:tcPr>
            <w:tcW w:w="851" w:type="dxa"/>
          </w:tcPr>
          <w:p w:rsidR="003E756B" w:rsidRDefault="003E756B" w:rsidP="00410F8E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  <w:vAlign w:val="center"/>
          </w:tcPr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Szalki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Petriego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do hodowli mikrobiologicznej, o wymiarach ok. 90x14 mm, sterylne, bez wentylacji, jednorazowe, z polistyrenu. Termin ważności produktu: minimum 3 lata od daty dostarczenia do siedziby Zamawiającego.</w:t>
            </w:r>
          </w:p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E756B" w:rsidRDefault="003E756B" w:rsidP="00410F8E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18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C62B4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XVIII.</w:t>
      </w:r>
      <w:r w:rsidRPr="002C62B4">
        <w:rPr>
          <w:rFonts w:ascii="Times New Roman" w:hAnsi="Times New Roman" w:cs="Times New Roman"/>
          <w:color w:val="000000" w:themeColor="text1"/>
        </w:rPr>
        <w:t xml:space="preserve"> Dostawa odczynników chemicznych</w:t>
      </w: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</w:t>
      </w:r>
      <w:r w:rsidRPr="00230F59">
        <w:rPr>
          <w:rFonts w:ascii="Times New Roman" w:hAnsi="Times New Roman" w:cs="Times New Roman"/>
          <w:b/>
          <w:color w:val="000000" w:themeColor="text1"/>
        </w:rPr>
        <w:t xml:space="preserve">dla produktów określonych w pozycji </w:t>
      </w:r>
      <w:r w:rsidR="003E756B">
        <w:rPr>
          <w:rFonts w:ascii="Times New Roman" w:hAnsi="Times New Roman" w:cs="Times New Roman"/>
          <w:b/>
          <w:color w:val="000000" w:themeColor="text1"/>
        </w:rPr>
        <w:t>2, 3</w:t>
      </w:r>
      <w:r w:rsidRPr="00230F59"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="003E756B">
        <w:rPr>
          <w:rFonts w:ascii="Times New Roman" w:hAnsi="Times New Roman" w:cs="Times New Roman"/>
          <w:b/>
          <w:color w:val="000000" w:themeColor="text1"/>
        </w:rPr>
        <w:t>7, 8</w:t>
      </w:r>
      <w:r>
        <w:rPr>
          <w:rFonts w:ascii="Times New Roman" w:hAnsi="Times New Roman" w:cs="Times New Roman"/>
          <w:b/>
          <w:color w:val="000000" w:themeColor="text1"/>
        </w:rPr>
        <w:t xml:space="preserve">, </w:t>
      </w:r>
      <w:r w:rsidR="003E756B">
        <w:rPr>
          <w:rFonts w:ascii="Times New Roman" w:hAnsi="Times New Roman" w:cs="Times New Roman"/>
          <w:b/>
          <w:color w:val="000000" w:themeColor="text1"/>
        </w:rPr>
        <w:t>9</w:t>
      </w:r>
      <w:r w:rsidRPr="00230F5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br/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962"/>
        <w:gridCol w:w="709"/>
        <w:gridCol w:w="850"/>
        <w:gridCol w:w="2924"/>
      </w:tblGrid>
      <w:tr w:rsidR="003E756B" w:rsidRPr="001E3746" w:rsidTr="00410F8E">
        <w:tc>
          <w:tcPr>
            <w:tcW w:w="567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962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50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pStyle w:val="HTML-wstpniesformatowany"/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NaOH</w:t>
            </w:r>
            <w:proofErr w:type="spellEnd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do biologii molekularnej 10 M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Odczynnik Turka (100 ml: 3% kwas octowy  + 1% fiolet krystaliczny) do mikroskopowego oznaczenia liczby krwinek białych.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br/>
              <w:t>Do diagnostyki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in</w:t>
            </w:r>
            <w:proofErr w:type="spellEnd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vitro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IVD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pStyle w:val="HTML-wstpniesformatowany"/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Trypan</w:t>
            </w:r>
            <w:proofErr w:type="spellEnd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blue</w:t>
            </w:r>
            <w:proofErr w:type="spellEnd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0,4 % do mikroskopowego określania żywotności komórek, </w:t>
            </w:r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br/>
              <w:t xml:space="preserve">do diagnostyki </w:t>
            </w:r>
            <w:proofErr w:type="spellStart"/>
            <w:r w:rsidRPr="00EA17B5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in</w:t>
            </w:r>
            <w:proofErr w:type="spellEnd"/>
            <w:r w:rsidRPr="00EA17B5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 xml:space="preserve"> vitro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Chusteczki do czyszczenia szkieł optycznych bezpyłowe z miękkiej włókniny do ogólnych zastosowań laboratoryjnych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Środki myjące stosowane w biologii molekularnej przeciwko kontaminacji DNA i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RNazom</w:t>
            </w:r>
            <w:proofErr w:type="spellEnd"/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spacing w:line="276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Etykiety białe na probówki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  <w:t xml:space="preserve">o objętości 1,5 ml-2 ml, przeznaczone do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pracy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w temperaturze</w:t>
            </w:r>
          </w:p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-196ºC do +121ºC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Odczynnik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Drabkina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wraz ze s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tandardem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cyjanomethemoglobiny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do oznaczania stężenia hemoglobiny w osoczu krwi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+ 50 ml standard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Barwnik May Grunwa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lda roztwór 0,25% 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br/>
              <w:t xml:space="preserve">w metanolu. 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Do diagnostyki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in</w:t>
            </w:r>
            <w:proofErr w:type="spellEnd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vitro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IVD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Barwnik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Giemsy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roztwór 0,4%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br/>
              <w:t xml:space="preserve">w metanolu,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pH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6.8. Do diagnostyki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in</w:t>
            </w:r>
            <w:proofErr w:type="spellEnd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vitro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IVD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Etanol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ultraczysty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do analiz 95-97%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HCl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do biologii molekularnej 36,5-38%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Rękawice kriogeniczne do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pracy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w parach ciekłego azotu </w:t>
            </w:r>
            <w:r w:rsidRPr="00EA17B5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8F8"/>
              </w:rPr>
              <w:t>(-196°C)</w:t>
            </w:r>
            <w:r w:rsidRPr="00EA17B5">
              <w:rPr>
                <w:rFonts w:ascii="Times New Roman" w:eastAsia="Times New Roman" w:hAnsi="Times New Roman"/>
                <w:color w:val="222222"/>
                <w:sz w:val="16"/>
                <w:szCs w:val="16"/>
              </w:rPr>
              <w:t xml:space="preserve"> . </w:t>
            </w:r>
            <w:r w:rsidRPr="00EA17B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Tekstylne, pięciopalcowe, zapewniające ochronę przedramienia i łokcia (długość ok. 50 cm). Posiadające znak CE i spełniające normy: EN 511, EN 388 (parametry mechaniczne: 1-3-2-3), EN 420. Rozmiar: M/9</w:t>
            </w:r>
          </w:p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para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XIX.</w:t>
      </w:r>
      <w:r w:rsidRPr="002C62B4">
        <w:rPr>
          <w:rFonts w:ascii="Times New Roman" w:hAnsi="Times New Roman" w:cs="Times New Roman"/>
          <w:color w:val="000000" w:themeColor="text1"/>
        </w:rPr>
        <w:t xml:space="preserve"> Dostawa drenów medycznych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2C62B4" w:rsidRPr="001E3746" w:rsidTr="00E550D4"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C62B4" w:rsidRPr="001E3746" w:rsidTr="00E550D4">
        <w:tc>
          <w:tcPr>
            <w:tcW w:w="567" w:type="dxa"/>
          </w:tcPr>
          <w:p w:rsidR="002C62B4" w:rsidRPr="00584C61" w:rsidRDefault="002C62B4" w:rsidP="00E550D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5104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Standardowe dreny medyczne PCV (mogą być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pakowane w zwojach bądź w odcinkach min. 15cm),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średnica wewnętrzna – 3mm, grubość ścianki do 1mm.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Dreny będą sterylizowane i wykorzystywane do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jałowego łączenia na zgrzewarce. Same dreny nie muszą</w:t>
            </w:r>
          </w:p>
          <w:p w:rsidR="002C62B4" w:rsidRPr="00584C61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być jałowe.</w:t>
            </w:r>
          </w:p>
        </w:tc>
        <w:tc>
          <w:tcPr>
            <w:tcW w:w="567" w:type="dxa"/>
          </w:tcPr>
          <w:p w:rsidR="002C62B4" w:rsidRPr="00584C61" w:rsidRDefault="002C62B4" w:rsidP="00E550D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</w:tcPr>
          <w:p w:rsidR="002C62B4" w:rsidRPr="00584C61" w:rsidRDefault="002C62B4" w:rsidP="00E550D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360</w:t>
            </w:r>
          </w:p>
        </w:tc>
        <w:tc>
          <w:tcPr>
            <w:tcW w:w="2839" w:type="dxa"/>
          </w:tcPr>
          <w:p w:rsidR="002C62B4" w:rsidRPr="001E3746" w:rsidRDefault="002C62B4" w:rsidP="00E550D4">
            <w:pPr>
              <w:rPr>
                <w:rFonts w:ascii="Times New Roman" w:hAnsi="Times New Roman"/>
              </w:rPr>
            </w:pPr>
          </w:p>
        </w:tc>
      </w:tr>
    </w:tbl>
    <w:p w:rsidR="002C62B4" w:rsidRDefault="002C62B4" w:rsidP="0037341F">
      <w:pPr>
        <w:rPr>
          <w:rFonts w:ascii="Times New Roman" w:hAnsi="Times New Roman" w:cs="Times New Roman"/>
          <w:color w:val="000000" w:themeColor="text1"/>
        </w:rPr>
      </w:pPr>
    </w:p>
    <w:p w:rsidR="002C62B4" w:rsidRP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XX.</w:t>
      </w:r>
      <w:r w:rsidRPr="002C62B4">
        <w:rPr>
          <w:rFonts w:ascii="Times New Roman" w:hAnsi="Times New Roman" w:cs="Times New Roman"/>
          <w:color w:val="000000" w:themeColor="text1"/>
        </w:rPr>
        <w:t xml:space="preserve"> Dostawa zestawów do ekspresji oraz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HRM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PCR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dedykowanych do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Light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Cycler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480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962"/>
        <w:gridCol w:w="709"/>
        <w:gridCol w:w="746"/>
        <w:gridCol w:w="3028"/>
      </w:tblGrid>
      <w:tr w:rsidR="002C62B4" w:rsidRPr="001E3746" w:rsidTr="00E550D4"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962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1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Zestaw do syntezy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cDNA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zawierający odwrotną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transkryptazę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oraz wszystkie niezbędne reagenty do syntezy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cDNA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na matrycy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mRNA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; synteza do 14kb;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</w:p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reakcja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2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Zestaw do reakcji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HRM-PCR</w:t>
            </w:r>
            <w:proofErr w:type="spellEnd"/>
          </w:p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kompatybilny z aparatem </w:t>
            </w:r>
            <w:proofErr w:type="spellStart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LightCycler</w:t>
            </w:r>
            <w:proofErr w:type="spellEnd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 480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firmy Roche;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zestaw do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real-time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PCR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i analiz krzywych topnienia wysokiej rozdzielczości 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z wykorzystaniem barwnika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ResoLight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lub równoważny, do analiz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metylacyjnych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,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genotypowania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itp. </w:t>
            </w:r>
          </w:p>
          <w:p w:rsidR="002C62B4" w:rsidRPr="002C62B4" w:rsidRDefault="002C62B4" w:rsidP="002C62B4">
            <w:pPr>
              <w:rPr>
                <w:rFonts w:ascii="Times New Roman" w:hAnsi="Times New Roman"/>
                <w:b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  <w:r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reakcja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3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</w:pPr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>Zestaw do analizy ekspresji genów</w:t>
            </w:r>
          </w:p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kompatybilny z aparatem </w:t>
            </w:r>
            <w:proofErr w:type="spellStart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LightCycler</w:t>
            </w:r>
            <w:proofErr w:type="spellEnd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 480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firmy Roche;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Panele ekspresyjne na płytkach 96 dołkowych (6 płytek przeznaczonych do analizy min. 12 próbek + min. 2 geny referencyjne na każdej płytce), zestaw oparty na sondach typu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LNA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, hydrolizujących. Sondy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zwalidowane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przez producenta w warunkach laboratoryjnych. Projektowanie sond przy pomocy bezpłatnego oprogramowania. Na płytce umieszczone zliofilizowane sondy i odpowiednie startery. Zestaw wraz z niezbędnymi, gotowymi do użycia mediami typu hot start zawierającymi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FastStart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Taq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DNA polimerazę (na min. 500 reakcji w 20 µl)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zestaw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4.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</w:pPr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 xml:space="preserve">Barwnik typu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>SYBR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 xml:space="preserve"> Green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 xml:space="preserve"> </w:t>
            </w:r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Odczynnik niezbędny do prawidłowego oznaczania poziomu ekspresji w oparciu o Real-time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PCR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na aparacie LightCycler480, hot start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reaction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mix zawierający barwnik typu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SYBR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Green I i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FastStart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Taq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DNA Polimerazę oraz probówkę z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Water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PCR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Grade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reakcja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</w:tbl>
    <w:p w:rsidR="002C62B4" w:rsidRDefault="002C62B4" w:rsidP="0037341F">
      <w:pPr>
        <w:rPr>
          <w:rFonts w:ascii="Times New Roman" w:hAnsi="Times New Roman" w:cs="Times New Roman"/>
          <w:color w:val="000000" w:themeColor="text1"/>
        </w:rPr>
      </w:pPr>
    </w:p>
    <w:p w:rsidR="003E756B" w:rsidRDefault="003E756B" w:rsidP="003E756B">
      <w:pPr>
        <w:spacing w:after="0"/>
        <w:rPr>
          <w:rFonts w:ascii="Times New Roman" w:hAnsi="Times New Roman" w:cs="Times New Roman"/>
          <w:color w:val="000000" w:themeColor="text1"/>
        </w:rPr>
      </w:pPr>
      <w:r w:rsidRPr="001F4C5B">
        <w:rPr>
          <w:rFonts w:ascii="Times New Roman" w:hAnsi="Times New Roman" w:cs="Times New Roman"/>
          <w:b/>
          <w:color w:val="000000" w:themeColor="text1"/>
        </w:rPr>
        <w:t>Zadanie XXI.</w:t>
      </w:r>
      <w:r>
        <w:rPr>
          <w:rFonts w:ascii="Times New Roman" w:hAnsi="Times New Roman" w:cs="Times New Roman"/>
          <w:color w:val="000000" w:themeColor="text1"/>
        </w:rPr>
        <w:t xml:space="preserve"> Dostawa materiałów mikrobiologicznych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820"/>
        <w:gridCol w:w="851"/>
        <w:gridCol w:w="746"/>
        <w:gridCol w:w="3028"/>
      </w:tblGrid>
      <w:tr w:rsidR="003E756B" w:rsidRPr="001E3746" w:rsidTr="00410F8E">
        <w:tc>
          <w:tcPr>
            <w:tcW w:w="567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1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  <w:vAlign w:val="center"/>
          </w:tcPr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Ezy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mikrobiologiczne ze stali nierdzewnej (typ W) o średnicy oczka w zakresie od 3 do 5 mm</w:t>
            </w:r>
          </w:p>
        </w:tc>
        <w:tc>
          <w:tcPr>
            <w:tcW w:w="851" w:type="dxa"/>
          </w:tcPr>
          <w:p w:rsidR="003E756B" w:rsidRDefault="003E756B" w:rsidP="00410F8E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  <w:vAlign w:val="center"/>
          </w:tcPr>
          <w:p w:rsidR="003E756B" w:rsidRPr="00C21D35" w:rsidRDefault="003E756B" w:rsidP="00410F8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Oprawki (uchwyty) do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ezy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mikrobiologicznej, długość oprawki ok. 160 mm, (kompatybilne z w/w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ezą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ze stali nierdzewnej)</w:t>
            </w:r>
          </w:p>
        </w:tc>
        <w:tc>
          <w:tcPr>
            <w:tcW w:w="851" w:type="dxa"/>
          </w:tcPr>
          <w:p w:rsidR="003E756B" w:rsidRDefault="003E756B" w:rsidP="00410F8E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  <w:vAlign w:val="center"/>
          </w:tcPr>
          <w:p w:rsidR="003E756B" w:rsidRPr="00C21D35" w:rsidRDefault="003E756B" w:rsidP="00410F8E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Parafilm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(szer. 100 mm, dł. 75 m)</w:t>
            </w:r>
          </w:p>
        </w:tc>
        <w:tc>
          <w:tcPr>
            <w:tcW w:w="851" w:type="dxa"/>
          </w:tcPr>
          <w:p w:rsidR="003E756B" w:rsidRDefault="003E756B" w:rsidP="00410F8E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028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</w:tbl>
    <w:p w:rsidR="003E756B" w:rsidRDefault="003E756B" w:rsidP="003E756B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3E756B" w:rsidRDefault="003E756B" w:rsidP="003E756B">
      <w:pPr>
        <w:spacing w:after="0"/>
        <w:rPr>
          <w:rFonts w:ascii="Times New Roman" w:hAnsi="Times New Roman" w:cs="Times New Roman"/>
          <w:color w:val="000000" w:themeColor="text1"/>
        </w:rPr>
      </w:pPr>
      <w:r w:rsidRPr="001F4C5B">
        <w:rPr>
          <w:rFonts w:ascii="Times New Roman" w:hAnsi="Times New Roman" w:cs="Times New Roman"/>
          <w:b/>
          <w:color w:val="000000" w:themeColor="text1"/>
        </w:rPr>
        <w:t>Zadanie XXII.</w:t>
      </w:r>
      <w:r>
        <w:rPr>
          <w:rFonts w:ascii="Times New Roman" w:hAnsi="Times New Roman" w:cs="Times New Roman"/>
          <w:color w:val="000000" w:themeColor="text1"/>
        </w:rPr>
        <w:t xml:space="preserve"> Dostawa odczynników do biologii molekularnej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962"/>
        <w:gridCol w:w="709"/>
        <w:gridCol w:w="850"/>
        <w:gridCol w:w="2924"/>
      </w:tblGrid>
      <w:tr w:rsidR="003E756B" w:rsidRPr="001E3746" w:rsidTr="00410F8E">
        <w:tc>
          <w:tcPr>
            <w:tcW w:w="567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962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50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Bufor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TBE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10x do elektroforezy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Woda do biologii molekularnej Wolna od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DNaz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RNaz</w:t>
            </w:r>
            <w:proofErr w:type="spellEnd"/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Agaroza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do biologii molekularnej;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  <w:t>w proszku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g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6"/>
                <w:szCs w:val="16"/>
              </w:rPr>
            </w:pPr>
            <w:r w:rsidRPr="00EA17B5">
              <w:rPr>
                <w:color w:val="000000" w:themeColor="text1"/>
                <w:sz w:val="16"/>
                <w:szCs w:val="16"/>
              </w:rPr>
              <w:t>Bufor obciążający do nanoszenia na żel do elektroforezy 6x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A17B5">
              <w:rPr>
                <w:rFonts w:ascii="Times New Roman" w:hAnsi="Times New Roman"/>
                <w:sz w:val="16"/>
                <w:szCs w:val="16"/>
                <w:lang w:val="en-US"/>
              </w:rPr>
              <w:t>ml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Ok. 5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Bufor TE 1X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pH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8; do biologii molekularnej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Marker do elektroforezy Od ok 100pz do ok. 1000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aplikacja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  <w:tr w:rsidR="003E756B" w:rsidRPr="001E3746" w:rsidTr="00410F8E">
        <w:tc>
          <w:tcPr>
            <w:tcW w:w="567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4962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Barwnik do wizualizacji kwasów nukleinowych w żelu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agarozowym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  <w:t xml:space="preserve">w świetle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UV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(inny niż bromek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etydyny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3E756B" w:rsidRPr="00EA17B5" w:rsidRDefault="003E756B" w:rsidP="00410F8E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aplikacja</w:t>
            </w:r>
          </w:p>
        </w:tc>
        <w:tc>
          <w:tcPr>
            <w:tcW w:w="850" w:type="dxa"/>
          </w:tcPr>
          <w:p w:rsidR="003E756B" w:rsidRPr="00EA17B5" w:rsidRDefault="003E756B" w:rsidP="00410F8E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924" w:type="dxa"/>
          </w:tcPr>
          <w:p w:rsidR="003E756B" w:rsidRPr="001E3746" w:rsidRDefault="003E756B" w:rsidP="00410F8E">
            <w:pPr>
              <w:rPr>
                <w:rFonts w:ascii="Times New Roman" w:hAnsi="Times New Roman"/>
              </w:rPr>
            </w:pPr>
          </w:p>
        </w:tc>
      </w:tr>
    </w:tbl>
    <w:p w:rsidR="003E756B" w:rsidRPr="001E3746" w:rsidRDefault="003E756B" w:rsidP="0037341F">
      <w:pPr>
        <w:rPr>
          <w:rFonts w:ascii="Times New Roman" w:hAnsi="Times New Roman" w:cs="Times New Roman"/>
          <w:color w:val="000000" w:themeColor="text1"/>
        </w:rPr>
      </w:pPr>
    </w:p>
    <w:sectPr w:rsidR="003E756B" w:rsidRPr="001E3746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C50" w:rsidRDefault="001B0C50">
      <w:pPr>
        <w:spacing w:after="0" w:line="240" w:lineRule="auto"/>
      </w:pPr>
      <w:r>
        <w:separator/>
      </w:r>
    </w:p>
  </w:endnote>
  <w:endnote w:type="continuationSeparator" w:id="0">
    <w:p w:rsidR="001B0C50" w:rsidRDefault="001B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EF" w:rsidRDefault="003645EF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EF" w:rsidRDefault="003645EF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C50" w:rsidRDefault="001B0C50">
      <w:pPr>
        <w:spacing w:after="0" w:line="240" w:lineRule="auto"/>
      </w:pPr>
      <w:r>
        <w:separator/>
      </w:r>
    </w:p>
  </w:footnote>
  <w:footnote w:type="continuationSeparator" w:id="0">
    <w:p w:rsidR="001B0C50" w:rsidRDefault="001B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3645EF" w:rsidRDefault="003645EF">
        <w:pPr>
          <w:pStyle w:val="Nagwek"/>
          <w:jc w:val="center"/>
        </w:pPr>
      </w:p>
      <w:p w:rsidR="003645EF" w:rsidRDefault="0066591F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3645EF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3E756B">
          <w:rPr>
            <w:noProof/>
            <w:color w:val="auto"/>
          </w:rPr>
          <w:t>10</w:t>
        </w:r>
        <w:r w:rsidRPr="0064265B">
          <w:rPr>
            <w:color w:val="auto"/>
          </w:rPr>
          <w:fldChar w:fldCharType="end"/>
        </w:r>
      </w:p>
    </w:sdtContent>
  </w:sdt>
  <w:p w:rsidR="003645EF" w:rsidRDefault="003645EF">
    <w:pPr>
      <w:pStyle w:val="Nagwek"/>
    </w:pPr>
  </w:p>
  <w:p w:rsidR="003645EF" w:rsidRDefault="003645E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EF" w:rsidRPr="00E3305A" w:rsidRDefault="003645EF">
    <w:pPr>
      <w:pStyle w:val="Nazwa"/>
    </w:pPr>
  </w:p>
  <w:p w:rsidR="003645EF" w:rsidRPr="00EC5657" w:rsidRDefault="0066591F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3645EF" w:rsidRPr="00EC5657">
          <w:rPr>
            <w:rStyle w:val="NagwekZnak"/>
          </w:rPr>
          <w:t>[Ulica, kod pocztowy, miasto]</w:t>
        </w:r>
      </w:sdtContent>
    </w:sdt>
  </w:p>
  <w:p w:rsidR="003645EF" w:rsidRPr="00EC5657" w:rsidRDefault="003645EF">
    <w:pPr>
      <w:pStyle w:val="Informacjeokontakcie"/>
    </w:pPr>
  </w:p>
  <w:p w:rsidR="003645EF" w:rsidRDefault="003645EF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8194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7AA3"/>
    <w:rsid w:val="001A4F60"/>
    <w:rsid w:val="001A5A8C"/>
    <w:rsid w:val="001B0C50"/>
    <w:rsid w:val="001C792B"/>
    <w:rsid w:val="001D0E6C"/>
    <w:rsid w:val="001E3746"/>
    <w:rsid w:val="001E5066"/>
    <w:rsid w:val="001E623B"/>
    <w:rsid w:val="00200D3A"/>
    <w:rsid w:val="00201D22"/>
    <w:rsid w:val="002058FB"/>
    <w:rsid w:val="002076C7"/>
    <w:rsid w:val="00211F6E"/>
    <w:rsid w:val="00230F59"/>
    <w:rsid w:val="002339EF"/>
    <w:rsid w:val="00233A18"/>
    <w:rsid w:val="002410CE"/>
    <w:rsid w:val="00253E10"/>
    <w:rsid w:val="00272BA8"/>
    <w:rsid w:val="002917DD"/>
    <w:rsid w:val="002A7DB0"/>
    <w:rsid w:val="002B4255"/>
    <w:rsid w:val="002B741F"/>
    <w:rsid w:val="002C62B4"/>
    <w:rsid w:val="002F61B8"/>
    <w:rsid w:val="00324D9C"/>
    <w:rsid w:val="003265F2"/>
    <w:rsid w:val="00336EE4"/>
    <w:rsid w:val="00340B1A"/>
    <w:rsid w:val="00343AE3"/>
    <w:rsid w:val="00347627"/>
    <w:rsid w:val="00351348"/>
    <w:rsid w:val="00353B5E"/>
    <w:rsid w:val="003645EF"/>
    <w:rsid w:val="003704CB"/>
    <w:rsid w:val="0037341F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3E756B"/>
    <w:rsid w:val="00405606"/>
    <w:rsid w:val="00412F28"/>
    <w:rsid w:val="0041454B"/>
    <w:rsid w:val="004153B3"/>
    <w:rsid w:val="00424A5F"/>
    <w:rsid w:val="00442AA1"/>
    <w:rsid w:val="00454542"/>
    <w:rsid w:val="00466FB9"/>
    <w:rsid w:val="00483ECE"/>
    <w:rsid w:val="00491F1A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07853"/>
    <w:rsid w:val="00516CEA"/>
    <w:rsid w:val="00526B26"/>
    <w:rsid w:val="00527893"/>
    <w:rsid w:val="00544FE5"/>
    <w:rsid w:val="0054623D"/>
    <w:rsid w:val="00546315"/>
    <w:rsid w:val="00546A87"/>
    <w:rsid w:val="005628EA"/>
    <w:rsid w:val="00582B5A"/>
    <w:rsid w:val="00584C61"/>
    <w:rsid w:val="00585833"/>
    <w:rsid w:val="005C6CF5"/>
    <w:rsid w:val="005D1283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6591F"/>
    <w:rsid w:val="0067592C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19BF"/>
    <w:rsid w:val="006F3E96"/>
    <w:rsid w:val="00712105"/>
    <w:rsid w:val="00727325"/>
    <w:rsid w:val="007341EA"/>
    <w:rsid w:val="00736F83"/>
    <w:rsid w:val="00740C9B"/>
    <w:rsid w:val="00746DE4"/>
    <w:rsid w:val="00747C9A"/>
    <w:rsid w:val="00762978"/>
    <w:rsid w:val="0076308F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527CA"/>
    <w:rsid w:val="008539F6"/>
    <w:rsid w:val="00866248"/>
    <w:rsid w:val="00872543"/>
    <w:rsid w:val="008839C0"/>
    <w:rsid w:val="00884675"/>
    <w:rsid w:val="008920D8"/>
    <w:rsid w:val="008A16D8"/>
    <w:rsid w:val="008B0855"/>
    <w:rsid w:val="008B49ED"/>
    <w:rsid w:val="008B6247"/>
    <w:rsid w:val="008D0CF5"/>
    <w:rsid w:val="008D19CE"/>
    <w:rsid w:val="008D5CE8"/>
    <w:rsid w:val="008E51A1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069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A019A"/>
    <w:rsid w:val="00AA290E"/>
    <w:rsid w:val="00AB469E"/>
    <w:rsid w:val="00AB4B74"/>
    <w:rsid w:val="00AB6BCF"/>
    <w:rsid w:val="00AC112E"/>
    <w:rsid w:val="00AE1AB4"/>
    <w:rsid w:val="00AE5AAC"/>
    <w:rsid w:val="00AF0F8D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46186"/>
    <w:rsid w:val="00B56046"/>
    <w:rsid w:val="00BF1A44"/>
    <w:rsid w:val="00BF2F3F"/>
    <w:rsid w:val="00BF32FE"/>
    <w:rsid w:val="00BF48A1"/>
    <w:rsid w:val="00C145D1"/>
    <w:rsid w:val="00C14BB8"/>
    <w:rsid w:val="00C21D35"/>
    <w:rsid w:val="00C2388A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616A"/>
    <w:rsid w:val="00CD14F1"/>
    <w:rsid w:val="00D0730C"/>
    <w:rsid w:val="00D110B3"/>
    <w:rsid w:val="00D149B4"/>
    <w:rsid w:val="00D23B69"/>
    <w:rsid w:val="00D23CE4"/>
    <w:rsid w:val="00D24AFD"/>
    <w:rsid w:val="00D30F69"/>
    <w:rsid w:val="00D43308"/>
    <w:rsid w:val="00D44FF8"/>
    <w:rsid w:val="00D551C5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6215"/>
    <w:rsid w:val="00DB5C15"/>
    <w:rsid w:val="00DC38BB"/>
    <w:rsid w:val="00DD0A58"/>
    <w:rsid w:val="00DD3DF9"/>
    <w:rsid w:val="00DD7097"/>
    <w:rsid w:val="00DF5C19"/>
    <w:rsid w:val="00E02E89"/>
    <w:rsid w:val="00E02F88"/>
    <w:rsid w:val="00E06F75"/>
    <w:rsid w:val="00E07CD6"/>
    <w:rsid w:val="00E13794"/>
    <w:rsid w:val="00E158E8"/>
    <w:rsid w:val="00E30E49"/>
    <w:rsid w:val="00E3305A"/>
    <w:rsid w:val="00E44BB4"/>
    <w:rsid w:val="00E46F37"/>
    <w:rsid w:val="00E550D4"/>
    <w:rsid w:val="00E55D96"/>
    <w:rsid w:val="00E64B02"/>
    <w:rsid w:val="00E7726C"/>
    <w:rsid w:val="00E83CE7"/>
    <w:rsid w:val="00E84AEC"/>
    <w:rsid w:val="00E8566F"/>
    <w:rsid w:val="00E86365"/>
    <w:rsid w:val="00EA17B5"/>
    <w:rsid w:val="00EA3CE8"/>
    <w:rsid w:val="00EA45EC"/>
    <w:rsid w:val="00EC2705"/>
    <w:rsid w:val="00EC33F7"/>
    <w:rsid w:val="00EC5657"/>
    <w:rsid w:val="00EC5A0A"/>
    <w:rsid w:val="00EC705B"/>
    <w:rsid w:val="00ED73B5"/>
    <w:rsid w:val="00EE4704"/>
    <w:rsid w:val="00EE504C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0D4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7B5"/>
    <w:rPr>
      <w:rFonts w:ascii="Courier New" w:eastAsia="Times New Roman" w:hAnsi="Courier New" w:cs="Courier New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EA17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00CCF8-EE63-437D-8E60-4F82B5913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0</TotalTime>
  <Pages>11</Pages>
  <Words>4816</Words>
  <Characters>28896</Characters>
  <Application>Microsoft Office Word</Application>
  <DocSecurity>0</DocSecurity>
  <Lines>240</Lines>
  <Paragraphs>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2</cp:revision>
  <cp:lastPrinted>2016-04-04T07:57:00Z</cp:lastPrinted>
  <dcterms:created xsi:type="dcterms:W3CDTF">2016-07-29T11:20:00Z</dcterms:created>
  <dcterms:modified xsi:type="dcterms:W3CDTF">2016-07-29T11:20:00Z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