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5D3C6" w14:textId="2C9CD5E0" w:rsidR="00D3718A" w:rsidRPr="00190246" w:rsidRDefault="00D3718A" w:rsidP="00190246">
      <w:pPr>
        <w:autoSpaceDE w:val="0"/>
        <w:autoSpaceDN w:val="0"/>
        <w:adjustRightInd w:val="0"/>
        <w:jc w:val="right"/>
        <w:rPr>
          <w:sz w:val="24"/>
          <w:szCs w:val="22"/>
        </w:rPr>
      </w:pPr>
      <w:bookmarkStart w:id="0" w:name="_Toc180218849"/>
      <w:bookmarkStart w:id="1" w:name="_Toc180921137"/>
      <w:r w:rsidRPr="00190246">
        <w:rPr>
          <w:sz w:val="24"/>
          <w:szCs w:val="22"/>
        </w:rPr>
        <w:t xml:space="preserve">Załącznik nr </w:t>
      </w:r>
      <w:r w:rsidR="00190246" w:rsidRPr="00190246">
        <w:rPr>
          <w:sz w:val="24"/>
          <w:szCs w:val="22"/>
        </w:rPr>
        <w:t>12</w:t>
      </w:r>
      <w:r w:rsidRPr="00190246">
        <w:rPr>
          <w:sz w:val="24"/>
          <w:szCs w:val="22"/>
        </w:rPr>
        <w:t xml:space="preserve"> </w:t>
      </w:r>
      <w:r w:rsidRPr="00190246">
        <w:rPr>
          <w:rStyle w:val="atta1listtitle"/>
          <w:sz w:val="24"/>
          <w:szCs w:val="22"/>
        </w:rPr>
        <w:t xml:space="preserve">do </w:t>
      </w:r>
      <w:r w:rsidR="008F557A">
        <w:rPr>
          <w:rStyle w:val="atta1listtitle"/>
          <w:sz w:val="24"/>
          <w:szCs w:val="22"/>
        </w:rPr>
        <w:t>Decyzji</w:t>
      </w:r>
      <w:r w:rsidRPr="00190246">
        <w:rPr>
          <w:rStyle w:val="atta1listtitle"/>
          <w:sz w:val="24"/>
          <w:szCs w:val="22"/>
        </w:rPr>
        <w:t xml:space="preserve"> o dofinansowanie projektu </w:t>
      </w:r>
    </w:p>
    <w:bookmarkEnd w:id="0"/>
    <w:bookmarkEnd w:id="1"/>
    <w:p w14:paraId="1409FDB7" w14:textId="77777777" w:rsidR="003A4BD8" w:rsidRPr="00D3718A" w:rsidRDefault="00A0098B" w:rsidP="00A0098B">
      <w:pPr>
        <w:pStyle w:val="Nagwek1"/>
        <w:numPr>
          <w:ilvl w:val="0"/>
          <w:numId w:val="0"/>
        </w:numPr>
        <w:spacing w:before="120" w:after="120"/>
        <w:ind w:left="360"/>
        <w:jc w:val="center"/>
        <w:rPr>
          <w:rFonts w:ascii="Arial" w:hAnsi="Arial" w:cs="Arial"/>
          <w:b/>
          <w:bCs/>
          <w:szCs w:val="28"/>
        </w:rPr>
      </w:pPr>
      <w:r w:rsidRPr="00D3718A">
        <w:rPr>
          <w:rFonts w:ascii="Arial" w:hAnsi="Arial" w:cs="Arial"/>
          <w:b/>
          <w:bCs/>
          <w:szCs w:val="28"/>
        </w:rPr>
        <w:t xml:space="preserve">Mechanizm monitorowania i wycofania </w:t>
      </w:r>
      <w:r w:rsidR="00D3718A">
        <w:rPr>
          <w:rFonts w:ascii="Arial" w:hAnsi="Arial" w:cs="Arial"/>
          <w:b/>
          <w:bCs/>
          <w:szCs w:val="28"/>
        </w:rPr>
        <w:t xml:space="preserve">dla infrastruktury wytworzonej/zakupionej </w:t>
      </w:r>
      <w:r w:rsidRPr="00D3718A">
        <w:rPr>
          <w:rFonts w:ascii="Arial" w:hAnsi="Arial" w:cs="Arial"/>
          <w:b/>
          <w:bCs/>
          <w:szCs w:val="28"/>
        </w:rPr>
        <w:t>ze środków publicznych</w:t>
      </w:r>
    </w:p>
    <w:p w14:paraId="5E572474" w14:textId="77777777" w:rsidR="000E5BEE" w:rsidRPr="00E97316" w:rsidRDefault="000E5BEE" w:rsidP="007C5195">
      <w:pPr>
        <w:spacing w:before="120" w:after="120"/>
        <w:ind w:left="5664"/>
        <w:jc w:val="both"/>
        <w:rPr>
          <w:rFonts w:ascii="Arial" w:hAnsi="Arial" w:cs="Arial"/>
          <w:sz w:val="22"/>
          <w:szCs w:val="22"/>
        </w:rPr>
      </w:pPr>
    </w:p>
    <w:p w14:paraId="501E6136" w14:textId="77777777" w:rsidR="00B95DC4" w:rsidRPr="00E97316" w:rsidRDefault="00A12935" w:rsidP="00B95DC4">
      <w:pPr>
        <w:spacing w:before="120" w:after="120"/>
        <w:ind w:left="4963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</w:t>
      </w:r>
      <w:r w:rsidR="00B95DC4" w:rsidRPr="00E97316">
        <w:rPr>
          <w:rFonts w:ascii="Arial" w:hAnsi="Arial" w:cs="Arial"/>
          <w:sz w:val="22"/>
          <w:szCs w:val="22"/>
        </w:rPr>
        <w:t>..</w:t>
      </w:r>
      <w:r w:rsidRPr="00E97316">
        <w:rPr>
          <w:rFonts w:ascii="Arial" w:hAnsi="Arial" w:cs="Arial"/>
          <w:sz w:val="22"/>
          <w:szCs w:val="22"/>
        </w:rPr>
        <w:t>……</w:t>
      </w:r>
      <w:r w:rsidR="000E5BEE" w:rsidRPr="00E97316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</w:t>
      </w:r>
      <w:r w:rsidR="00B95DC4" w:rsidRPr="00E97316">
        <w:rPr>
          <w:rFonts w:ascii="Arial" w:hAnsi="Arial" w:cs="Arial"/>
          <w:sz w:val="22"/>
          <w:szCs w:val="22"/>
        </w:rPr>
        <w:t xml:space="preserve">       </w:t>
      </w:r>
    </w:p>
    <w:p w14:paraId="3884441C" w14:textId="77777777" w:rsidR="000E5BEE" w:rsidRPr="00E97316" w:rsidRDefault="00B95DC4" w:rsidP="00B95DC4">
      <w:pPr>
        <w:spacing w:before="120" w:after="120"/>
        <w:ind w:left="4963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       (</w:t>
      </w:r>
      <w:r w:rsidR="000E5BEE" w:rsidRPr="00E97316">
        <w:rPr>
          <w:rFonts w:ascii="Arial" w:hAnsi="Arial" w:cs="Arial"/>
          <w:sz w:val="22"/>
          <w:szCs w:val="22"/>
        </w:rPr>
        <w:t>miejscowość, data</w:t>
      </w:r>
      <w:r w:rsidRPr="00E97316">
        <w:rPr>
          <w:rFonts w:ascii="Arial" w:hAnsi="Arial" w:cs="Arial"/>
          <w:sz w:val="22"/>
          <w:szCs w:val="22"/>
        </w:rPr>
        <w:t>)</w:t>
      </w:r>
    </w:p>
    <w:p w14:paraId="4535CACD" w14:textId="77777777" w:rsidR="003A4BD8" w:rsidRPr="00E97316" w:rsidRDefault="003A4BD8" w:rsidP="007C5195">
      <w:pPr>
        <w:tabs>
          <w:tab w:val="left" w:pos="4536"/>
        </w:tabs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3BB1F224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W związku z </w:t>
      </w:r>
      <w:r w:rsidR="002A5B45" w:rsidRPr="00E97316">
        <w:rPr>
          <w:rFonts w:ascii="Arial" w:hAnsi="Arial" w:cs="Arial"/>
          <w:sz w:val="22"/>
          <w:szCs w:val="22"/>
        </w:rPr>
        <w:t>uzyskaniem dofinansowania</w:t>
      </w:r>
      <w:r w:rsidRPr="00E97316">
        <w:rPr>
          <w:rFonts w:ascii="Arial" w:hAnsi="Arial" w:cs="Arial"/>
          <w:sz w:val="22"/>
          <w:szCs w:val="22"/>
        </w:rPr>
        <w:t xml:space="preserve"> </w:t>
      </w:r>
      <w:r w:rsidR="002A5B45" w:rsidRPr="00E97316">
        <w:rPr>
          <w:rFonts w:ascii="Arial" w:hAnsi="Arial" w:cs="Arial"/>
          <w:sz w:val="22"/>
          <w:szCs w:val="22"/>
        </w:rPr>
        <w:t>w ramach realizacji</w:t>
      </w:r>
      <w:r w:rsidRPr="00E97316">
        <w:rPr>
          <w:rFonts w:ascii="Arial" w:hAnsi="Arial" w:cs="Arial"/>
          <w:sz w:val="22"/>
          <w:szCs w:val="22"/>
        </w:rPr>
        <w:t xml:space="preserve"> Projektu:</w:t>
      </w:r>
    </w:p>
    <w:p w14:paraId="34A3167C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FA270DB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5D06B4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(nazwa</w:t>
      </w:r>
      <w:r w:rsidR="002A5B45" w:rsidRPr="00E97316">
        <w:rPr>
          <w:rFonts w:ascii="Arial" w:hAnsi="Arial" w:cs="Arial"/>
          <w:sz w:val="22"/>
          <w:szCs w:val="22"/>
        </w:rPr>
        <w:t xml:space="preserve"> i numer</w:t>
      </w:r>
      <w:r w:rsidRPr="00E97316">
        <w:rPr>
          <w:rFonts w:ascii="Arial" w:hAnsi="Arial" w:cs="Arial"/>
          <w:sz w:val="22"/>
          <w:szCs w:val="22"/>
        </w:rPr>
        <w:t xml:space="preserve"> Projektu)</w:t>
      </w:r>
    </w:p>
    <w:p w14:paraId="67B08E62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7B532EA6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działając w imieniu </w:t>
      </w:r>
      <w:r w:rsidR="002A5B45" w:rsidRPr="00E97316">
        <w:rPr>
          <w:rFonts w:ascii="Arial" w:hAnsi="Arial" w:cs="Arial"/>
          <w:sz w:val="22"/>
          <w:szCs w:val="22"/>
        </w:rPr>
        <w:t>Beneficjenta</w:t>
      </w:r>
      <w:r w:rsidRPr="00E97316">
        <w:rPr>
          <w:rFonts w:ascii="Arial" w:hAnsi="Arial" w:cs="Arial"/>
          <w:sz w:val="22"/>
          <w:szCs w:val="22"/>
        </w:rPr>
        <w:t xml:space="preserve">: </w:t>
      </w:r>
    </w:p>
    <w:p w14:paraId="4131897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473A17A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30699D8" w14:textId="77777777" w:rsidR="001E3BC6" w:rsidRPr="00E97316" w:rsidRDefault="001E3BC6" w:rsidP="007C519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(nazwa </w:t>
      </w:r>
      <w:r w:rsidR="002A5B45" w:rsidRPr="00E97316">
        <w:rPr>
          <w:rFonts w:ascii="Arial" w:hAnsi="Arial" w:cs="Arial"/>
          <w:sz w:val="22"/>
          <w:szCs w:val="22"/>
        </w:rPr>
        <w:t>Beneficjenta</w:t>
      </w:r>
      <w:r w:rsidRPr="00E97316">
        <w:rPr>
          <w:rFonts w:ascii="Arial" w:hAnsi="Arial" w:cs="Arial"/>
          <w:sz w:val="22"/>
          <w:szCs w:val="22"/>
        </w:rPr>
        <w:t>, adres siedziby</w:t>
      </w:r>
      <w:r w:rsidR="002A5B45" w:rsidRPr="00E97316">
        <w:rPr>
          <w:rFonts w:ascii="Arial" w:hAnsi="Arial" w:cs="Arial"/>
          <w:sz w:val="22"/>
          <w:szCs w:val="22"/>
        </w:rPr>
        <w:t>, NIP, REGON, KRS (jeśli dotyczy)</w:t>
      </w:r>
    </w:p>
    <w:p w14:paraId="2F48A2C0" w14:textId="77777777" w:rsidR="001E3BC6" w:rsidRPr="00E97316" w:rsidRDefault="001E3BC6" w:rsidP="007C5195">
      <w:pPr>
        <w:tabs>
          <w:tab w:val="left" w:pos="-284"/>
          <w:tab w:val="left" w:pos="0"/>
          <w:tab w:val="right" w:leader="dot" w:pos="9072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10986AD5" w14:textId="77777777" w:rsidR="0092352B" w:rsidRPr="00E97316" w:rsidRDefault="000E5BEE" w:rsidP="0092352B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Z</w:t>
      </w:r>
      <w:r w:rsidR="00575081" w:rsidRPr="00E97316">
        <w:rPr>
          <w:rFonts w:ascii="Arial" w:hAnsi="Arial" w:cs="Arial"/>
          <w:sz w:val="22"/>
          <w:szCs w:val="22"/>
        </w:rPr>
        <w:t>obowiązuj</w:t>
      </w:r>
      <w:r w:rsidR="0014353E" w:rsidRPr="00E97316">
        <w:rPr>
          <w:rFonts w:ascii="Arial" w:hAnsi="Arial" w:cs="Arial"/>
          <w:sz w:val="22"/>
          <w:szCs w:val="22"/>
        </w:rPr>
        <w:t>ę</w:t>
      </w:r>
      <w:r w:rsidR="00575081" w:rsidRPr="00E97316">
        <w:rPr>
          <w:rFonts w:ascii="Arial" w:hAnsi="Arial" w:cs="Arial"/>
          <w:sz w:val="22"/>
          <w:szCs w:val="22"/>
        </w:rPr>
        <w:t xml:space="preserve"> się </w:t>
      </w:r>
      <w:r w:rsidR="002A5B45" w:rsidRPr="00E97316">
        <w:rPr>
          <w:rFonts w:ascii="Arial" w:hAnsi="Arial" w:cs="Arial"/>
          <w:sz w:val="22"/>
          <w:szCs w:val="22"/>
        </w:rPr>
        <w:t xml:space="preserve">do stosowania </w:t>
      </w:r>
      <w:r w:rsidR="00343CD9" w:rsidRPr="00E97316">
        <w:rPr>
          <w:rFonts w:ascii="Arial" w:hAnsi="Arial" w:cs="Arial"/>
          <w:sz w:val="22"/>
          <w:szCs w:val="22"/>
        </w:rPr>
        <w:t>„</w:t>
      </w:r>
      <w:r w:rsidR="006A668C" w:rsidRPr="006A668C">
        <w:rPr>
          <w:rFonts w:ascii="Arial" w:hAnsi="Arial" w:cs="Arial"/>
          <w:sz w:val="22"/>
          <w:szCs w:val="22"/>
        </w:rPr>
        <w:t>Mechanizm</w:t>
      </w:r>
      <w:r w:rsidR="006A668C">
        <w:rPr>
          <w:rFonts w:ascii="Arial" w:hAnsi="Arial" w:cs="Arial"/>
          <w:sz w:val="22"/>
          <w:szCs w:val="22"/>
        </w:rPr>
        <w:t>u</w:t>
      </w:r>
      <w:r w:rsidR="006A668C" w:rsidRPr="006A668C">
        <w:rPr>
          <w:rFonts w:ascii="Arial" w:hAnsi="Arial" w:cs="Arial"/>
          <w:sz w:val="22"/>
          <w:szCs w:val="22"/>
        </w:rPr>
        <w:t xml:space="preserve"> monitorowania i wycofania dla infrastruktury wytworzonej/</w:t>
      </w:r>
      <w:r w:rsidR="006A668C" w:rsidRPr="001573A8">
        <w:rPr>
          <w:rFonts w:ascii="Arial" w:hAnsi="Arial" w:cs="Arial"/>
          <w:sz w:val="22"/>
          <w:szCs w:val="22"/>
        </w:rPr>
        <w:t>zakupionej ze środków publicznych</w:t>
      </w:r>
      <w:r w:rsidR="0092352B" w:rsidRPr="001573A8">
        <w:rPr>
          <w:rFonts w:ascii="Arial" w:hAnsi="Arial" w:cs="Arial"/>
          <w:sz w:val="22"/>
          <w:szCs w:val="22"/>
        </w:rPr>
        <w:t>”</w:t>
      </w:r>
      <w:r w:rsidR="006A668C" w:rsidRPr="001573A8">
        <w:rPr>
          <w:rFonts w:ascii="Arial" w:hAnsi="Arial" w:cs="Arial"/>
          <w:sz w:val="22"/>
          <w:szCs w:val="22"/>
        </w:rPr>
        <w:t xml:space="preserve"> </w:t>
      </w:r>
      <w:r w:rsidR="0092352B" w:rsidRPr="001573A8">
        <w:rPr>
          <w:rFonts w:ascii="Arial" w:hAnsi="Arial" w:cs="Arial"/>
          <w:sz w:val="22"/>
          <w:szCs w:val="22"/>
        </w:rPr>
        <w:t xml:space="preserve">zgodnie z § </w:t>
      </w:r>
      <w:r w:rsidR="006A668C" w:rsidRPr="001573A8">
        <w:rPr>
          <w:rFonts w:ascii="Arial" w:hAnsi="Arial" w:cs="Arial"/>
          <w:sz w:val="22"/>
          <w:szCs w:val="22"/>
        </w:rPr>
        <w:t>1</w:t>
      </w:r>
      <w:r w:rsidR="001573A8" w:rsidRPr="001573A8">
        <w:rPr>
          <w:rFonts w:ascii="Arial" w:hAnsi="Arial" w:cs="Arial"/>
          <w:sz w:val="22"/>
          <w:szCs w:val="22"/>
        </w:rPr>
        <w:t>6</w:t>
      </w:r>
      <w:r w:rsidR="0092352B" w:rsidRPr="001573A8">
        <w:rPr>
          <w:rFonts w:ascii="Arial" w:hAnsi="Arial" w:cs="Arial"/>
          <w:sz w:val="22"/>
          <w:szCs w:val="22"/>
        </w:rPr>
        <w:t xml:space="preserve"> </w:t>
      </w:r>
      <w:r w:rsidR="006A668C" w:rsidRPr="001573A8">
        <w:rPr>
          <w:rFonts w:ascii="Arial" w:hAnsi="Arial" w:cs="Arial"/>
          <w:sz w:val="22"/>
          <w:szCs w:val="22"/>
        </w:rPr>
        <w:t xml:space="preserve">umowy </w:t>
      </w:r>
      <w:r w:rsidR="006A668C" w:rsidRPr="001573A8">
        <w:rPr>
          <w:rFonts w:ascii="Arial" w:hAnsi="Arial" w:cs="Arial"/>
          <w:sz w:val="22"/>
          <w:szCs w:val="22"/>
        </w:rPr>
        <w:br/>
        <w:t>o dofinansowanie dla projektu</w:t>
      </w:r>
      <w:r w:rsidR="006A668C">
        <w:rPr>
          <w:rFonts w:ascii="Arial" w:hAnsi="Arial" w:cs="Arial"/>
          <w:sz w:val="22"/>
          <w:szCs w:val="22"/>
        </w:rPr>
        <w:t xml:space="preserve"> nr ………………………………………. </w:t>
      </w:r>
      <w:r w:rsidR="006A668C">
        <w:rPr>
          <w:rFonts w:ascii="Arial" w:hAnsi="Arial" w:cs="Arial"/>
          <w:sz w:val="22"/>
          <w:szCs w:val="22"/>
        </w:rPr>
        <w:br/>
        <w:t xml:space="preserve">pn.: „…………………………….” </w:t>
      </w:r>
      <w:r w:rsidR="002B2F3B" w:rsidRPr="00E97316">
        <w:rPr>
          <w:rFonts w:ascii="Arial" w:hAnsi="Arial" w:cs="Arial"/>
          <w:sz w:val="22"/>
          <w:szCs w:val="22"/>
        </w:rPr>
        <w:t xml:space="preserve">oraz przyjętych poniżej </w:t>
      </w:r>
      <w:r w:rsidR="00575081" w:rsidRPr="00E97316">
        <w:rPr>
          <w:rFonts w:ascii="Arial" w:hAnsi="Arial" w:cs="Arial"/>
          <w:sz w:val="22"/>
          <w:szCs w:val="22"/>
        </w:rPr>
        <w:t xml:space="preserve">założeń </w:t>
      </w:r>
      <w:r w:rsidR="00AA42B7" w:rsidRPr="00E97316">
        <w:rPr>
          <w:rFonts w:ascii="Arial" w:hAnsi="Arial" w:cs="Arial"/>
          <w:sz w:val="22"/>
          <w:szCs w:val="22"/>
        </w:rPr>
        <w:t xml:space="preserve">przez </w:t>
      </w:r>
      <w:r w:rsidR="00A12935" w:rsidRPr="00E97316">
        <w:rPr>
          <w:rFonts w:ascii="Arial" w:hAnsi="Arial" w:cs="Arial"/>
          <w:sz w:val="22"/>
          <w:szCs w:val="22"/>
        </w:rPr>
        <w:t xml:space="preserve">cały </w:t>
      </w:r>
      <w:r w:rsidR="00AA42B7" w:rsidRPr="00E97316">
        <w:rPr>
          <w:rFonts w:ascii="Arial" w:hAnsi="Arial" w:cs="Arial"/>
          <w:sz w:val="22"/>
          <w:szCs w:val="22"/>
        </w:rPr>
        <w:t xml:space="preserve">okres amortyzacji każdego ze składników infrastruktury </w:t>
      </w:r>
      <w:r w:rsidR="006A668C">
        <w:rPr>
          <w:rFonts w:ascii="Arial" w:hAnsi="Arial" w:cs="Arial"/>
          <w:sz w:val="22"/>
          <w:szCs w:val="22"/>
        </w:rPr>
        <w:t>wytworzonej/zakupionej w ramach przedmiotowego projektu</w:t>
      </w:r>
      <w:r w:rsidR="00C10ED3" w:rsidRPr="00E97316">
        <w:rPr>
          <w:rFonts w:ascii="Arial" w:hAnsi="Arial" w:cs="Arial"/>
          <w:sz w:val="22"/>
          <w:szCs w:val="22"/>
        </w:rPr>
        <w:t xml:space="preserve"> (niezależnie od okresu trwałości projektu)</w:t>
      </w:r>
      <w:r w:rsidR="0092352B" w:rsidRPr="00E97316">
        <w:rPr>
          <w:rFonts w:ascii="Arial" w:hAnsi="Arial" w:cs="Arial"/>
          <w:sz w:val="22"/>
          <w:szCs w:val="22"/>
        </w:rPr>
        <w:t>.</w:t>
      </w:r>
      <w:r w:rsidR="00BE081C" w:rsidRPr="00E97316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</w:p>
    <w:p w14:paraId="42473802" w14:textId="77777777" w:rsidR="0092352B" w:rsidRPr="00E97316" w:rsidRDefault="0092352B" w:rsidP="0092352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13C7B45" w14:textId="77777777" w:rsidR="00B920E2" w:rsidRPr="00B920E2" w:rsidRDefault="00C10ED3" w:rsidP="00B920E2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Monitorowanie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sposobu wykorzystania infrastruktury</w:t>
      </w:r>
      <w:r w:rsidR="00971C07">
        <w:rPr>
          <w:rFonts w:ascii="Arial" w:hAnsi="Arial" w:cs="Arial"/>
          <w:sz w:val="22"/>
          <w:szCs w:val="22"/>
          <w:lang w:eastAsia="x-none"/>
        </w:rPr>
        <w:t xml:space="preserve"> na cele działalności gospodarczej </w:t>
      </w:r>
      <w:r w:rsidR="00971C07">
        <w:rPr>
          <w:rFonts w:ascii="Arial" w:hAnsi="Arial" w:cs="Arial"/>
          <w:sz w:val="22"/>
          <w:szCs w:val="22"/>
          <w:lang w:eastAsia="x-none"/>
        </w:rPr>
        <w:br/>
        <w:t>o charakterze pomocniczym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97316">
        <w:rPr>
          <w:rFonts w:ascii="Arial" w:hAnsi="Arial" w:cs="Arial"/>
          <w:sz w:val="22"/>
          <w:szCs w:val="22"/>
          <w:lang w:eastAsia="x-none"/>
        </w:rPr>
        <w:t>będzie przebiegało</w:t>
      </w:r>
      <w:r w:rsidR="00971C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w oparciu o</w:t>
      </w:r>
      <w:r w:rsidR="002639F6" w:rsidRPr="00E97316">
        <w:rPr>
          <w:rFonts w:ascii="Arial" w:hAnsi="Arial" w:cs="Arial"/>
          <w:sz w:val="22"/>
          <w:szCs w:val="22"/>
          <w:lang w:eastAsia="x-none"/>
        </w:rPr>
        <w:t xml:space="preserve"> poniższe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wskaźniki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 xml:space="preserve"> (wskaźniki nie podlegają zmianom w całym okresie monitorowania)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:</w:t>
      </w:r>
    </w:p>
    <w:p w14:paraId="4851D80A" w14:textId="77777777" w:rsidR="00B920E2" w:rsidRPr="00E97316" w:rsidRDefault="00B920E2" w:rsidP="00B920E2">
      <w:pPr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90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940"/>
        <w:gridCol w:w="4514"/>
      </w:tblGrid>
      <w:tr w:rsidR="004B6DA7" w:rsidRPr="00E97316" w14:paraId="154A1D70" w14:textId="77777777" w:rsidTr="0092352B">
        <w:trPr>
          <w:trHeight w:val="496"/>
        </w:trPr>
        <w:tc>
          <w:tcPr>
            <w:tcW w:w="638" w:type="dxa"/>
            <w:shd w:val="clear" w:color="auto" w:fill="auto"/>
          </w:tcPr>
          <w:p w14:paraId="06D9C689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40" w:type="dxa"/>
            <w:shd w:val="clear" w:color="auto" w:fill="auto"/>
          </w:tcPr>
          <w:p w14:paraId="6BA23382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Nazwa wskaźnika</w:t>
            </w:r>
          </w:p>
        </w:tc>
        <w:tc>
          <w:tcPr>
            <w:tcW w:w="4514" w:type="dxa"/>
            <w:shd w:val="clear" w:color="auto" w:fill="auto"/>
          </w:tcPr>
          <w:p w14:paraId="489EF5D7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Uzasadnienie wyboru wskaźnika</w:t>
            </w:r>
          </w:p>
        </w:tc>
      </w:tr>
      <w:tr w:rsidR="004B6DA7" w:rsidRPr="00E97316" w14:paraId="76A2EBED" w14:textId="77777777" w:rsidTr="0092352B">
        <w:trPr>
          <w:trHeight w:val="80"/>
        </w:trPr>
        <w:tc>
          <w:tcPr>
            <w:tcW w:w="638" w:type="dxa"/>
            <w:shd w:val="clear" w:color="auto" w:fill="auto"/>
          </w:tcPr>
          <w:p w14:paraId="57580D7B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6809FF93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629E86B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65195E3F" w14:textId="77777777" w:rsidTr="0092352B">
        <w:trPr>
          <w:trHeight w:val="79"/>
        </w:trPr>
        <w:tc>
          <w:tcPr>
            <w:tcW w:w="638" w:type="dxa"/>
            <w:shd w:val="clear" w:color="auto" w:fill="auto"/>
          </w:tcPr>
          <w:p w14:paraId="6341CDF2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6E8697A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3C74BA3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41F441AF" w14:textId="77777777" w:rsidTr="0092352B">
        <w:trPr>
          <w:trHeight w:val="79"/>
        </w:trPr>
        <w:tc>
          <w:tcPr>
            <w:tcW w:w="638" w:type="dxa"/>
            <w:shd w:val="clear" w:color="auto" w:fill="auto"/>
          </w:tcPr>
          <w:p w14:paraId="1941778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40" w:type="dxa"/>
            <w:shd w:val="clear" w:color="auto" w:fill="auto"/>
          </w:tcPr>
          <w:p w14:paraId="7F93F57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14" w:type="dxa"/>
            <w:shd w:val="clear" w:color="auto" w:fill="auto"/>
          </w:tcPr>
          <w:p w14:paraId="6A3D04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5288BB21" w14:textId="77777777" w:rsidR="00B920E2" w:rsidRDefault="00B920E2" w:rsidP="007C5195">
      <w:pPr>
        <w:spacing w:before="120" w:after="12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27FB1AF" w14:textId="77777777" w:rsidR="002304BC" w:rsidRPr="00B920E2" w:rsidRDefault="00B920E2" w:rsidP="007C5195">
      <w:pPr>
        <w:spacing w:before="120" w:after="120"/>
        <w:jc w:val="both"/>
        <w:rPr>
          <w:rFonts w:ascii="Arial" w:hAnsi="Arial" w:cs="Arial"/>
          <w:b/>
          <w:i/>
          <w:iCs/>
          <w:sz w:val="20"/>
          <w:szCs w:val="20"/>
        </w:rPr>
      </w:pPr>
      <w:bookmarkStart w:id="2" w:name="_Hlk132620196"/>
      <w:r w:rsidRPr="00B920E2">
        <w:rPr>
          <w:rFonts w:ascii="Arial" w:hAnsi="Arial" w:cs="Arial"/>
          <w:b/>
          <w:i/>
          <w:iCs/>
          <w:sz w:val="20"/>
          <w:szCs w:val="20"/>
        </w:rPr>
        <w:t>Wyjaśnienie:</w:t>
      </w:r>
    </w:p>
    <w:bookmarkEnd w:id="2"/>
    <w:p w14:paraId="57D07877" w14:textId="77777777" w:rsidR="00B920E2" w:rsidRPr="00B920E2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20E2">
        <w:rPr>
          <w:rFonts w:ascii="Arial" w:hAnsi="Arial" w:cs="Arial"/>
          <w:sz w:val="20"/>
          <w:szCs w:val="20"/>
        </w:rPr>
        <w:t xml:space="preserve">Należy określić wskaźniki wraz z analizą/uzasadnieniem ich zastosowania, np. powierzchnia infrastruktury, czas jej wykorzystania lub inne wskaźniki. Mechanizm ten nie może być oparty na przychodach lub dochodach osiąganych z działalności gospodarczej i niegospodarczej. Mechanizm monitorowania i wycofania, w celu dostarczenia wiarygodnych danych na temat zakresu gospodarczego wykorzystania infrastruktury musi być oparty na adekwatnych i niezmiennych </w:t>
      </w:r>
      <w:r w:rsidR="009E6FEE">
        <w:rPr>
          <w:rFonts w:ascii="Arial" w:hAnsi="Arial" w:cs="Arial"/>
          <w:sz w:val="20"/>
          <w:szCs w:val="20"/>
        </w:rPr>
        <w:br/>
      </w:r>
      <w:r w:rsidRPr="00B920E2">
        <w:rPr>
          <w:rFonts w:ascii="Arial" w:hAnsi="Arial" w:cs="Arial"/>
          <w:sz w:val="20"/>
          <w:szCs w:val="20"/>
        </w:rPr>
        <w:t>w czasie wskaźnikach. W związku z tym nie ma możliwości przyjmowania różnych wskaźników służących mierzeniu sposobu wykorzystania infrastruktury dla poszczególnych lat. Z tego powodu wybór określonych wskaźników, które będą stanowić podstawę monitorowania sposobu wykorzystania infrastruktury powinien być poparty odpowiednią analizą prowadzącą do najbardziej uzasadnionego wyboru.</w:t>
      </w:r>
    </w:p>
    <w:p w14:paraId="73AA4AAA" w14:textId="77777777" w:rsidR="00B920E2" w:rsidRPr="00E97316" w:rsidRDefault="00B920E2" w:rsidP="007C5195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66FF4900" w14:textId="77777777" w:rsidR="0092352B" w:rsidRPr="006A668C" w:rsidRDefault="001E3BC6" w:rsidP="007C5195">
      <w:pPr>
        <w:numPr>
          <w:ilvl w:val="0"/>
          <w:numId w:val="21"/>
        </w:num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>obowiązuj</w:t>
      </w:r>
      <w:r w:rsidR="0014353E" w:rsidRPr="00E97316">
        <w:rPr>
          <w:rFonts w:ascii="Arial" w:hAnsi="Arial" w:cs="Arial"/>
          <w:sz w:val="22"/>
          <w:szCs w:val="22"/>
          <w:lang w:eastAsia="x-none"/>
        </w:rPr>
        <w:t>ę</w:t>
      </w:r>
      <w:r w:rsidR="002B2F3B" w:rsidRPr="00E97316">
        <w:rPr>
          <w:rFonts w:ascii="Arial" w:hAnsi="Arial" w:cs="Arial"/>
          <w:sz w:val="22"/>
          <w:szCs w:val="22"/>
          <w:lang w:eastAsia="x-none"/>
        </w:rPr>
        <w:t xml:space="preserve"> się</w:t>
      </w:r>
      <w:r w:rsidR="00245328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stosować</w:t>
      </w:r>
      <w:r w:rsidR="002304BC" w:rsidRPr="00E97316">
        <w:rPr>
          <w:rFonts w:ascii="Arial" w:hAnsi="Arial" w:cs="Arial"/>
          <w:sz w:val="22"/>
          <w:szCs w:val="22"/>
          <w:lang w:eastAsia="x-none"/>
        </w:rPr>
        <w:t xml:space="preserve"> wybraną 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poniżej 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 xml:space="preserve">metodę amortyzacji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przez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C10ED3" w:rsidRPr="00E97316">
        <w:rPr>
          <w:rFonts w:ascii="Arial" w:hAnsi="Arial" w:cs="Arial"/>
          <w:sz w:val="22"/>
          <w:szCs w:val="22"/>
          <w:lang w:eastAsia="x-none"/>
        </w:rPr>
        <w:t>cały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okres objęty mechanizmem monitorowania i wycofania</w:t>
      </w:r>
      <w:r w:rsidR="00EE6CF9">
        <w:rPr>
          <w:rFonts w:ascii="Arial" w:hAnsi="Arial" w:cs="Arial"/>
          <w:sz w:val="22"/>
          <w:szCs w:val="22"/>
          <w:lang w:eastAsia="x-none"/>
        </w:rPr>
        <w:t>,</w:t>
      </w:r>
      <w:r w:rsidR="008C11BE" w:rsidRPr="00E97316">
        <w:rPr>
          <w:rFonts w:ascii="Arial" w:hAnsi="Arial" w:cs="Arial"/>
          <w:sz w:val="22"/>
          <w:szCs w:val="22"/>
        </w:rPr>
        <w:t xml:space="preserve"> 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>niezależn</w:t>
      </w:r>
      <w:r w:rsidR="002954EC" w:rsidRPr="00E97316">
        <w:rPr>
          <w:rFonts w:ascii="Arial" w:hAnsi="Arial" w:cs="Arial"/>
          <w:sz w:val="22"/>
          <w:szCs w:val="22"/>
          <w:lang w:eastAsia="x-none"/>
        </w:rPr>
        <w:t xml:space="preserve">ie od okresu trwałości projektu 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(tzn.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BA25C2" w:rsidRPr="00E97316">
        <w:rPr>
          <w:rFonts w:ascii="Arial" w:hAnsi="Arial" w:cs="Arial"/>
          <w:sz w:val="22"/>
          <w:szCs w:val="22"/>
          <w:lang w:eastAsia="x-none"/>
        </w:rPr>
        <w:t xml:space="preserve">przez </w:t>
      </w:r>
      <w:r w:rsidR="00284713" w:rsidRPr="00E97316">
        <w:rPr>
          <w:rFonts w:ascii="Arial" w:hAnsi="Arial" w:cs="Arial"/>
          <w:sz w:val="22"/>
          <w:szCs w:val="22"/>
          <w:lang w:eastAsia="x-none"/>
        </w:rPr>
        <w:t>cały okres amortyzacji</w:t>
      </w:r>
      <w:r w:rsidR="002304BC" w:rsidRPr="00E97316">
        <w:rPr>
          <w:rFonts w:ascii="Arial" w:hAnsi="Arial" w:cs="Arial"/>
          <w:sz w:val="22"/>
          <w:szCs w:val="22"/>
        </w:rPr>
        <w:t xml:space="preserve"> </w:t>
      </w:r>
      <w:r w:rsidR="002304BC" w:rsidRPr="00E97316">
        <w:rPr>
          <w:rFonts w:ascii="Arial" w:hAnsi="Arial" w:cs="Arial"/>
          <w:sz w:val="22"/>
          <w:szCs w:val="22"/>
          <w:lang w:eastAsia="x-none"/>
        </w:rPr>
        <w:t>każdego ze składników infrastruktury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)</w:t>
      </w:r>
      <w:r w:rsidR="0092352B" w:rsidRPr="00E97316">
        <w:rPr>
          <w:rFonts w:ascii="Arial" w:hAnsi="Arial" w:cs="Arial"/>
          <w:sz w:val="22"/>
          <w:szCs w:val="22"/>
          <w:lang w:eastAsia="x-none"/>
        </w:rPr>
        <w:t>.</w:t>
      </w:r>
      <w:r w:rsidR="00C10ED3" w:rsidRPr="00E97316">
        <w:rPr>
          <w:rStyle w:val="Odwoanieprzypisudolnego"/>
          <w:rFonts w:ascii="Arial" w:hAnsi="Arial" w:cs="Arial"/>
          <w:sz w:val="22"/>
          <w:szCs w:val="22"/>
          <w:lang w:eastAsia="x-none"/>
        </w:rPr>
        <w:footnoteReference w:id="2"/>
      </w:r>
    </w:p>
    <w:p w14:paraId="6AA07EE8" w14:textId="77777777" w:rsidR="00284713" w:rsidRPr="00E97316" w:rsidRDefault="00360D59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Wybrana metoda amortyzacji</w:t>
      </w:r>
      <w:r w:rsidR="00C10ED3" w:rsidRPr="00E97316">
        <w:rPr>
          <w:rFonts w:ascii="Arial" w:hAnsi="Arial" w:cs="Arial"/>
          <w:sz w:val="22"/>
          <w:szCs w:val="22"/>
          <w:lang w:eastAsia="x-none"/>
        </w:rPr>
        <w:t xml:space="preserve">: </w:t>
      </w:r>
      <w:r w:rsidR="006A668C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………………………………………………………………….</w:t>
      </w:r>
    </w:p>
    <w:p w14:paraId="2A31786D" w14:textId="77777777" w:rsidR="000D3E7F" w:rsidRPr="00E97316" w:rsidRDefault="00C10ED3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U</w:t>
      </w:r>
      <w:r w:rsidR="00360D59" w:rsidRPr="00E97316">
        <w:rPr>
          <w:rFonts w:ascii="Arial" w:hAnsi="Arial" w:cs="Arial"/>
          <w:sz w:val="22"/>
          <w:szCs w:val="22"/>
          <w:lang w:eastAsia="x-none"/>
        </w:rPr>
        <w:t>zasadnienie</w:t>
      </w:r>
      <w:r w:rsidRPr="00E97316">
        <w:rPr>
          <w:rFonts w:ascii="Arial" w:hAnsi="Arial" w:cs="Arial"/>
          <w:sz w:val="22"/>
          <w:szCs w:val="22"/>
          <w:lang w:eastAsia="x-none"/>
        </w:rPr>
        <w:t>:</w:t>
      </w:r>
    </w:p>
    <w:p w14:paraId="46E5C7E3" w14:textId="77777777" w:rsidR="0092352B" w:rsidRDefault="0092352B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22495" w14:textId="77777777" w:rsidR="001573A8" w:rsidRPr="00E97316" w:rsidRDefault="001573A8" w:rsidP="007C5195">
      <w:p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36B24F28" w14:textId="77777777" w:rsidR="008C11BE" w:rsidRPr="00E97316" w:rsidRDefault="001E3BC6" w:rsidP="0092352B">
      <w:pPr>
        <w:numPr>
          <w:ilvl w:val="0"/>
          <w:numId w:val="21"/>
        </w:numPr>
        <w:spacing w:before="120" w:after="120"/>
        <w:ind w:right="282"/>
        <w:jc w:val="both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>obowiązuj</w:t>
      </w:r>
      <w:r w:rsidR="0014353E" w:rsidRPr="00E97316">
        <w:rPr>
          <w:rFonts w:ascii="Arial" w:hAnsi="Arial" w:cs="Arial"/>
          <w:sz w:val="22"/>
          <w:szCs w:val="22"/>
          <w:lang w:eastAsia="x-none"/>
        </w:rPr>
        <w:t>ę</w:t>
      </w:r>
      <w:r w:rsidR="008C11BE" w:rsidRPr="00E97316">
        <w:rPr>
          <w:rFonts w:ascii="Arial" w:hAnsi="Arial" w:cs="Arial"/>
          <w:sz w:val="22"/>
          <w:szCs w:val="22"/>
          <w:lang w:eastAsia="x-none"/>
        </w:rPr>
        <w:t xml:space="preserve"> się stosować opisany poniżej czas amortyzacji składników infrastruktury </w:t>
      </w:r>
      <w:r w:rsidR="006A668C" w:rsidRPr="001573A8">
        <w:rPr>
          <w:rFonts w:ascii="Arial" w:hAnsi="Arial" w:cs="Arial"/>
          <w:sz w:val="22"/>
          <w:szCs w:val="22"/>
          <w:lang w:eastAsia="x-none"/>
        </w:rPr>
        <w:t>wytworzonej/zakupionej w ramach projektu</w:t>
      </w:r>
      <w:r w:rsidR="008C11BE" w:rsidRPr="001573A8">
        <w:rPr>
          <w:rFonts w:ascii="Arial" w:hAnsi="Arial" w:cs="Arial"/>
          <w:sz w:val="22"/>
          <w:szCs w:val="22"/>
        </w:rPr>
        <w:t xml:space="preserve"> i </w:t>
      </w:r>
      <w:r w:rsidR="008C11BE" w:rsidRPr="001573A8">
        <w:rPr>
          <w:rFonts w:ascii="Arial" w:hAnsi="Arial" w:cs="Arial"/>
          <w:sz w:val="22"/>
          <w:szCs w:val="22"/>
          <w:lang w:eastAsia="x-none"/>
        </w:rPr>
        <w:t>monitorować sposób wyko</w:t>
      </w:r>
      <w:r w:rsidR="002954EC" w:rsidRPr="001573A8">
        <w:rPr>
          <w:rFonts w:ascii="Arial" w:hAnsi="Arial" w:cs="Arial"/>
          <w:sz w:val="22"/>
          <w:szCs w:val="22"/>
          <w:lang w:eastAsia="x-none"/>
        </w:rPr>
        <w:t xml:space="preserve">rzystania każdego ze składników </w:t>
      </w:r>
      <w:r w:rsidRPr="001573A8">
        <w:rPr>
          <w:rFonts w:ascii="Arial" w:hAnsi="Arial" w:cs="Arial"/>
          <w:sz w:val="22"/>
          <w:szCs w:val="22"/>
          <w:lang w:eastAsia="x-none"/>
        </w:rPr>
        <w:t>przez</w:t>
      </w:r>
      <w:r w:rsidR="008C11BE" w:rsidRPr="001573A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C10ED3" w:rsidRPr="001573A8">
        <w:rPr>
          <w:rFonts w:ascii="Arial" w:hAnsi="Arial" w:cs="Arial"/>
          <w:bCs/>
          <w:sz w:val="22"/>
          <w:szCs w:val="22"/>
        </w:rPr>
        <w:t>okres amortyzacji każdego ze składników infrastruktury</w:t>
      </w:r>
      <w:r w:rsidR="00EE6CF9" w:rsidRPr="001573A8">
        <w:rPr>
          <w:rFonts w:ascii="Arial" w:hAnsi="Arial" w:cs="Arial"/>
          <w:bCs/>
          <w:sz w:val="22"/>
          <w:szCs w:val="22"/>
        </w:rPr>
        <w:t>,</w:t>
      </w:r>
      <w:r w:rsidR="00C10ED3" w:rsidRPr="001573A8">
        <w:rPr>
          <w:rFonts w:ascii="Arial" w:hAnsi="Arial" w:cs="Arial"/>
          <w:bCs/>
          <w:sz w:val="22"/>
          <w:szCs w:val="22"/>
        </w:rPr>
        <w:t xml:space="preserve"> niezależnie od okresu trwałości projektu</w:t>
      </w:r>
      <w:r w:rsidR="002954EC" w:rsidRPr="001573A8">
        <w:rPr>
          <w:rFonts w:ascii="Arial" w:hAnsi="Arial" w:cs="Arial"/>
          <w:bCs/>
          <w:sz w:val="22"/>
          <w:szCs w:val="22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6237"/>
        <w:gridCol w:w="1809"/>
      </w:tblGrid>
      <w:tr w:rsidR="004B6DA7" w:rsidRPr="00E97316" w14:paraId="0D4D130F" w14:textId="77777777" w:rsidTr="00B920E2">
        <w:trPr>
          <w:trHeight w:val="50"/>
        </w:trPr>
        <w:tc>
          <w:tcPr>
            <w:tcW w:w="608" w:type="dxa"/>
            <w:shd w:val="clear" w:color="auto" w:fill="auto"/>
          </w:tcPr>
          <w:p w14:paraId="71938214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237" w:type="dxa"/>
            <w:shd w:val="clear" w:color="auto" w:fill="auto"/>
          </w:tcPr>
          <w:p w14:paraId="42F21D38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 xml:space="preserve">Składnik infrastruktury </w:t>
            </w:r>
            <w:r w:rsidR="00B3496E">
              <w:rPr>
                <w:rFonts w:ascii="Arial" w:hAnsi="Arial" w:cs="Arial"/>
                <w:b/>
              </w:rPr>
              <w:t>wytworzonej/zakupionej w ramach projektu</w:t>
            </w:r>
          </w:p>
        </w:tc>
        <w:tc>
          <w:tcPr>
            <w:tcW w:w="1809" w:type="dxa"/>
            <w:shd w:val="clear" w:color="auto" w:fill="auto"/>
          </w:tcPr>
          <w:p w14:paraId="5D57D32B" w14:textId="77777777" w:rsidR="004B6DA7" w:rsidRPr="00E97316" w:rsidRDefault="004B6DA7" w:rsidP="002954E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Okres amortyzacji</w:t>
            </w:r>
          </w:p>
        </w:tc>
      </w:tr>
      <w:tr w:rsidR="004B6DA7" w:rsidRPr="00E97316" w14:paraId="4EC1B08C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60E0D24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2BEFF7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3008701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32E34AB1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779EC48C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20E718F6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5CB550A2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4B6DA7" w:rsidRPr="00E97316" w14:paraId="170A333F" w14:textId="77777777" w:rsidTr="00B920E2">
        <w:trPr>
          <w:trHeight w:val="47"/>
        </w:trPr>
        <w:tc>
          <w:tcPr>
            <w:tcW w:w="608" w:type="dxa"/>
            <w:shd w:val="clear" w:color="auto" w:fill="auto"/>
          </w:tcPr>
          <w:p w14:paraId="54B53B1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7A8FCE8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9" w:type="dxa"/>
            <w:shd w:val="clear" w:color="auto" w:fill="auto"/>
          </w:tcPr>
          <w:p w14:paraId="38FB2D6B" w14:textId="77777777" w:rsidR="004B6DA7" w:rsidRPr="00E97316" w:rsidRDefault="004B6DA7" w:rsidP="007C5195">
            <w:pPr>
              <w:pStyle w:val="Akapitzlist"/>
              <w:spacing w:before="120" w:after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7D5CB566" w14:textId="77777777" w:rsidR="00B920E2" w:rsidRPr="00B920E2" w:rsidRDefault="00B920E2" w:rsidP="00B920E2">
      <w:pPr>
        <w:spacing w:before="120" w:after="12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B920E2">
        <w:rPr>
          <w:rFonts w:ascii="Arial" w:hAnsi="Arial" w:cs="Arial"/>
          <w:b/>
          <w:i/>
          <w:iCs/>
          <w:sz w:val="20"/>
          <w:szCs w:val="20"/>
        </w:rPr>
        <w:t>Wyjaśnienie:</w:t>
      </w:r>
    </w:p>
    <w:p w14:paraId="68A80F20" w14:textId="77777777" w:rsidR="00B920E2" w:rsidRPr="00B920E2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20E2">
        <w:rPr>
          <w:rFonts w:ascii="Arial" w:hAnsi="Arial" w:cs="Arial"/>
          <w:sz w:val="20"/>
          <w:szCs w:val="20"/>
        </w:rPr>
        <w:t>Należy wypisać wszystkie składniki infrastruktury wytworzonej/zakupionej w ramach projektu, które podlegają monitorowaniu, określić zgodnie z przyjętą metodą czas amortyzacji składników infrastruktury. Należy mieć na uwadze, że konsekwencją powyższego jest konieczność stosowania wybranej metody w zakresie całego mechanizmu monitorowania i wycofania.</w:t>
      </w:r>
    </w:p>
    <w:p w14:paraId="12592F3F" w14:textId="77777777" w:rsidR="007C5195" w:rsidRPr="00795B3D" w:rsidRDefault="00B920E2" w:rsidP="00B920E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6CF9">
        <w:rPr>
          <w:rFonts w:ascii="Arial" w:hAnsi="Arial" w:cs="Arial"/>
          <w:sz w:val="20"/>
          <w:szCs w:val="20"/>
        </w:rPr>
        <w:t>W sytuacji, w której poszczególne składniki dofinansowanej infrastruktury amortyzują się w różnych okresach, każdy ze składników powinien podlegać mechanizmowi monitorowania we właściwym dla niego okresie amortyzacji. Oznacza to, że nie jest możliwe przyjęcie średniego okresu amortyzacji dla wszystkich składników infrastruktury i stosowanie mechanizmu w tym uśrednionym okresie. Jest natomiast możliwe przyjęcie dla wszystkich składników danej infrastruktury jednolitego okresu równego okresowi amortyzacji tego składnika infrastruktury, który amortyzuje się najdłużej.</w:t>
      </w: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072"/>
      </w:tblGrid>
      <w:tr w:rsidR="000C5491" w:rsidRPr="001573A8" w14:paraId="7F4EC041" w14:textId="77777777" w:rsidTr="00BA02B9">
        <w:trPr>
          <w:trHeight w:val="416"/>
        </w:trPr>
        <w:tc>
          <w:tcPr>
            <w:tcW w:w="5000" w:type="pct"/>
            <w:shd w:val="clear" w:color="auto" w:fill="FFFFFF"/>
          </w:tcPr>
          <w:p w14:paraId="02763797" w14:textId="77777777" w:rsidR="002B2F3B" w:rsidRPr="001573A8" w:rsidRDefault="007C5195" w:rsidP="00B920E2">
            <w:pPr>
              <w:contextualSpacing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4B6DA7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D44D09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0C5491" w:rsidRPr="001573A8">
              <w:rPr>
                <w:rFonts w:ascii="Arial" w:hAnsi="Arial" w:cs="Arial"/>
                <w:sz w:val="22"/>
                <w:szCs w:val="22"/>
              </w:rPr>
              <w:br w:type="page"/>
            </w:r>
            <w:r w:rsidR="000C5491" w:rsidRPr="001573A8">
              <w:rPr>
                <w:rFonts w:ascii="Arial" w:hAnsi="Arial" w:cs="Arial"/>
                <w:sz w:val="22"/>
                <w:szCs w:val="22"/>
              </w:rPr>
              <w:br w:type="page"/>
            </w:r>
          </w:p>
          <w:p w14:paraId="0C3F5C13" w14:textId="77777777" w:rsidR="00EE6CF9" w:rsidRPr="001573A8" w:rsidRDefault="00B920E2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t xml:space="preserve">Zobowiązuję się składać corocznie sprawozdania z monitorowania sposobu wykorzystania infrastruktury wytworzonej/zakupionej w ramach projektu do działalności gospodarczej w oparciu o przyjęte wskaźniki oraz dokonać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ewentualnego zwrotu środków w sytuacji, terminie i na warunkach określonych w </w:t>
            </w:r>
            <w:r w:rsidR="00EE6CF9" w:rsidRPr="001573A8">
              <w:rPr>
                <w:rFonts w:ascii="Calibri" w:hAnsi="Calibri" w:cs="Calibri"/>
                <w:sz w:val="22"/>
                <w:szCs w:val="22"/>
              </w:rPr>
              <w:t>§</w:t>
            </w:r>
            <w:r w:rsidR="00971C07">
              <w:rPr>
                <w:rFonts w:ascii="Calibri" w:hAnsi="Calibri" w:cs="Calibri"/>
                <w:sz w:val="22"/>
                <w:szCs w:val="22"/>
              </w:rPr>
              <w:t> 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>1</w:t>
            </w:r>
            <w:r w:rsidR="001573A8" w:rsidRPr="001573A8">
              <w:rPr>
                <w:rFonts w:ascii="Arial" w:hAnsi="Arial" w:cs="Arial"/>
                <w:sz w:val="22"/>
                <w:szCs w:val="22"/>
              </w:rPr>
              <w:t>6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 ust. </w:t>
            </w:r>
            <w:r w:rsidR="00732EA0">
              <w:rPr>
                <w:rFonts w:ascii="Arial" w:hAnsi="Arial" w:cs="Arial"/>
                <w:sz w:val="22"/>
                <w:szCs w:val="22"/>
              </w:rPr>
              <w:t>10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>-1</w:t>
            </w:r>
            <w:r w:rsidR="00732EA0">
              <w:rPr>
                <w:rFonts w:ascii="Arial" w:hAnsi="Arial" w:cs="Arial"/>
                <w:sz w:val="22"/>
                <w:szCs w:val="22"/>
              </w:rPr>
              <w:t>3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 umowy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br/>
              <w:t xml:space="preserve">o dofinasowanie. </w:t>
            </w:r>
          </w:p>
          <w:p w14:paraId="75BBEB91" w14:textId="51E5A095" w:rsidR="00795B3D" w:rsidRDefault="00D23E84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73A8">
              <w:rPr>
                <w:rFonts w:ascii="Arial" w:hAnsi="Arial" w:cs="Arial"/>
                <w:sz w:val="22"/>
                <w:szCs w:val="22"/>
              </w:rPr>
              <w:t>Sprawozdania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 xml:space="preserve"> powinny być składane do 31 marca roku następnego przez cały okres objęty monitorowaniem. Na wezwanie Instytucji Zarządzającej zobowiązuje się przedłożyć </w:t>
            </w:r>
            <w:r w:rsidR="00EE6CF9" w:rsidRPr="001573A8">
              <w:rPr>
                <w:rFonts w:ascii="Arial" w:hAnsi="Arial" w:cs="Arial"/>
                <w:sz w:val="22"/>
                <w:szCs w:val="22"/>
              </w:rPr>
              <w:t xml:space="preserve">wraz ze sprawozdaniem </w:t>
            </w:r>
            <w:r w:rsidRPr="001573A8">
              <w:rPr>
                <w:rFonts w:ascii="Arial" w:hAnsi="Arial" w:cs="Arial"/>
                <w:sz w:val="22"/>
                <w:szCs w:val="22"/>
              </w:rPr>
              <w:t>dokumentacj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ę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finansowo-księgową 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i/lub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inn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e</w:t>
            </w:r>
            <w:r w:rsidRPr="001573A8">
              <w:rPr>
                <w:rFonts w:ascii="Arial" w:hAnsi="Arial" w:cs="Arial"/>
                <w:sz w:val="22"/>
                <w:szCs w:val="22"/>
              </w:rPr>
              <w:t xml:space="preserve"> dokument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y</w:t>
            </w:r>
            <w:r w:rsidRPr="001573A8">
              <w:rPr>
                <w:rFonts w:ascii="Arial" w:hAnsi="Arial" w:cs="Arial"/>
                <w:sz w:val="22"/>
                <w:szCs w:val="22"/>
              </w:rPr>
              <w:t>, na podstawie których można potwierdzić proporcje wykorzystania infrastruktury do prowadzenia działalności gospodarczej lub niegospodarczej</w:t>
            </w:r>
            <w:r w:rsidR="00795B3D" w:rsidRPr="001573A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490005" w14:textId="77777777" w:rsidR="00AC23D8" w:rsidRDefault="00AC23D8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928F2B" w14:textId="77777777" w:rsidR="00AC23D8" w:rsidRDefault="00AC23D8" w:rsidP="00AC23D8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>Zasady stosowania mechanizmu monitorowania i wycofania w przypadku, gdy dofinansowanie projektu nie stanowi pomocy publicznej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D8B25CF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365117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lastRenderedPageBreak/>
              <w:t xml:space="preserve">W przypadku, gdy umowa o dofinansowanie projektu przewiduje wyłącznie niegospodarcze wykorzystanie dofinansowanej infrastruktury albo prowadzenie działalności gospodarczej jako działalności o czysto pomocniczym charakterze (ancillary activity), mechanizm monitorowania i wycofania powinien być stosowany zgodnie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z zasadami opisanymi w poniższym przykładzie. </w:t>
            </w:r>
          </w:p>
          <w:p w14:paraId="24D19F7F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E09133" w14:textId="77777777" w:rsidR="00AC23D8" w:rsidRPr="00EE6CF9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6CF9">
              <w:rPr>
                <w:rFonts w:ascii="Arial" w:hAnsi="Arial" w:cs="Arial"/>
                <w:b/>
                <w:bCs/>
                <w:sz w:val="22"/>
                <w:szCs w:val="22"/>
              </w:rPr>
              <w:t>Przykład:</w:t>
            </w:r>
          </w:p>
          <w:p w14:paraId="7A2EFEA2" w14:textId="77777777" w:rsidR="00AC23D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 xml:space="preserve">Przedsiębiorca otrzymał finansowanie publiczne na zakup/wytworzenie infrastruktury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o 10-letnim okresie amortyzacji. Z opisu projektu oraz z zawartej umowy wynika,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że działalność gospodarcza będzie miała wyłącznie pomocniczy charakter. Zastosowany mechanizm monitorowania wskazuje następujące proporcje poszczególnych typów działalności prowadzonej na infrastrukturze: </w:t>
            </w:r>
          </w:p>
          <w:p w14:paraId="77EB7406" w14:textId="77777777" w:rsidR="00AC23D8" w:rsidRPr="00D46328" w:rsidRDefault="00AC23D8" w:rsidP="00AC23D8">
            <w:pPr>
              <w:ind w:left="36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CF0F08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1: 98% działalność niegospodarcza; 2% działalność gospodarcza – brak pomocy publicznej </w:t>
            </w:r>
          </w:p>
          <w:p w14:paraId="08805B55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2: 88% działalność niegospodarcza; 12% działalność gospodarcza – brak pomocy publicznej </w:t>
            </w:r>
          </w:p>
          <w:p w14:paraId="3F3C92E9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3: 92% działalność niegospodarcza; 8% działalność gospodarcza – brak pomocy publicznej </w:t>
            </w:r>
          </w:p>
          <w:p w14:paraId="11DCD5FB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4: 83% działalność niegospodarcza; 17% działalność gospodarcza – brak pomocy publicznej 6 </w:t>
            </w:r>
          </w:p>
          <w:p w14:paraId="6009AFC9" w14:textId="77777777" w:rsidR="00AC23D8" w:rsidRPr="00D46328" w:rsidRDefault="00AC23D8" w:rsidP="00AC23D8">
            <w:pPr>
              <w:pStyle w:val="Default"/>
              <w:pageBreakBefore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5: 72% działalność niegospodarcza; 28% działalność gospodarcza – pomoc publiczna </w:t>
            </w:r>
          </w:p>
          <w:p w14:paraId="6EA9954C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6: (…) </w:t>
            </w:r>
          </w:p>
          <w:p w14:paraId="7AD1784C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7: (…) </w:t>
            </w:r>
          </w:p>
          <w:p w14:paraId="5100E6D5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8: (…) </w:t>
            </w:r>
          </w:p>
          <w:p w14:paraId="2AA45086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9: (…) </w:t>
            </w:r>
          </w:p>
          <w:p w14:paraId="7CB1E1AB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Rok 10: (…) </w:t>
            </w:r>
          </w:p>
          <w:p w14:paraId="4F2B57C7" w14:textId="77777777" w:rsidR="00AC23D8" w:rsidRDefault="00AC23D8" w:rsidP="00AC23D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D35478" w14:textId="77777777" w:rsidR="00AC23D8" w:rsidRDefault="00AC23D8" w:rsidP="00AC23D8">
            <w:pPr>
              <w:pStyle w:val="Default"/>
              <w:ind w:left="36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Mechanizm wyliczania kwoty podlegającej zwrotowi przez beneficjenta: </w:t>
            </w:r>
          </w:p>
          <w:p w14:paraId="625C5E00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0C8F211C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Mając na względzie konieczność monitorowania wykorzystania zasobów infrastruktury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cyklach rocznych, udzielone dofinansowanie oraz koszty kwalifikowalne infrastruktury należy podzielić przez liczbę lat odpowiadających okresowi amortyzacji infrastruktury –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omawianym przykładzie 10. </w:t>
            </w:r>
          </w:p>
          <w:p w14:paraId="69F5F35B" w14:textId="77777777" w:rsidR="00AC23D8" w:rsidRPr="00D4632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B85CF24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Przy założeniu, że całkowite koszty kwalifikowalne infrastruktury wynoszą 10 000 000 euro i udzielono wsparcia w maksymalnej wielkości dopuszczalnej dla działalności niegospodarczej, czyli 100% kosztów: </w:t>
            </w:r>
          </w:p>
          <w:p w14:paraId="77684CD3" w14:textId="77777777" w:rsidR="00AC23D8" w:rsidRPr="00D4632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758360E" w14:textId="77777777" w:rsidR="00AC23D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- „roczna alokacja” kosztów wynosi: 1/10 x 10 000 000 euro = 1 000 000 euro, </w:t>
            </w:r>
          </w:p>
          <w:p w14:paraId="0E1EBD96" w14:textId="77777777" w:rsidR="00AC23D8" w:rsidRPr="00D4632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5BD8C4" w14:textId="6359FD0A" w:rsidR="00AC23D8" w:rsidRDefault="00AC23D8" w:rsidP="00AC23D8">
            <w:pPr>
              <w:pStyle w:val="Default"/>
              <w:ind w:left="3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- “roczna alokacja” udzielonego dofinansowania wynosi: 1/10 x 10 000 000 euro = 1</w:t>
            </w:r>
            <w:r w:rsidR="001932A2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000 000 euro. </w:t>
            </w:r>
          </w:p>
          <w:p w14:paraId="7A97B6A9" w14:textId="77777777" w:rsidR="00AC23D8" w:rsidRPr="00D46328" w:rsidRDefault="00AC23D8" w:rsidP="00AC23D8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9475AF8" w14:textId="77777777" w:rsidR="00AC23D8" w:rsidRDefault="00AC23D8" w:rsidP="00AC23D8">
            <w:pPr>
              <w:pStyle w:val="Default"/>
              <w:ind w:left="36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Jako że dopuszczalny limit pomocniczej działalności gospodarczej został przekroczony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roku 5, działalność gospodarcza wykonywana na infrastrukturze w tym roku nie może być uznana za działalność pomocniczą i całe 28% działalności gospodarczej musi 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zostać uznane za działalność gospodarczą sensu stricto podlegającą zasadom pomocy publicznej. Mając jednocześnie na względzie, że na infrastrukturę badawczą wykorzystywaną do celów gospodarczych można otrzymać pomoc publiczną wynoszącą 50% kosztów kwalifikowalnych, dofinansowanie przypadające na rok 5 powinno być zredukowane w następujący sposób: </w:t>
            </w:r>
          </w:p>
          <w:p w14:paraId="3179B363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należy wyliczyć kwotę finansowania publicznego przypadającą na finansowanie działalności niegospodarczej (FPDNG) w danym roku (dopuszczalna intensywność wsparcia 100%): </w:t>
            </w:r>
          </w:p>
          <w:p w14:paraId="24E3A7E5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ACC83E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FPDNG = DNG x 100% x RKK</w:t>
            </w: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 (gdzie DNG oznacza procentowy udział działalności niegospodarczej w ramach rocznej wydajności infrastruktury, RKK – „roczną alokację” kosztów kwalifikowalnych infrastruktury badawczej zakupionej/wytworzonej w ramach projektu) </w:t>
            </w:r>
          </w:p>
          <w:p w14:paraId="1B8ADA60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8E86546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W przyjętym przykładzie: 72% x 100% x 1 000 000 euro = 720 000 euro prawidłowo udzielonego finansowania publicznego przypadającego </w:t>
            </w:r>
          </w:p>
          <w:p w14:paraId="46820473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>na działalność niegospodarczą w danym roku.</w:t>
            </w:r>
          </w:p>
          <w:p w14:paraId="04F17756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E7BE3A0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następnie należy określić wielkość dopuszczalnego finansowania publicznego przypadającego na finansowanie działalności gospodarczej (FPDG) w danym roku (dopuszczalna intensywność wsparcia 50%): </w:t>
            </w:r>
          </w:p>
          <w:p w14:paraId="31D8529C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2E5EA36" w14:textId="77777777" w:rsidR="00AC23D8" w:rsidRDefault="00AC23D8" w:rsidP="00AC23D8">
            <w:pPr>
              <w:spacing w:line="276" w:lineRule="auto"/>
              <w:ind w:left="108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sz w:val="22"/>
                <w:szCs w:val="22"/>
              </w:rPr>
              <w:t>FPDG = DG x 50% x RKK</w:t>
            </w:r>
            <w:r w:rsidRPr="00D46328">
              <w:rPr>
                <w:rFonts w:ascii="Arial" w:hAnsi="Arial" w:cs="Arial"/>
                <w:sz w:val="22"/>
                <w:szCs w:val="22"/>
              </w:rPr>
              <w:t xml:space="preserve"> (gdzie DNG oznacza procentowy udział działalności gospodarczej w ramach rocznej wydajności infrastruktury, RKK – „roczną alokację” kosztów kwalifikowalnych infrastruktury badawczej zakupionej/wytworzonej w ramach projektu)</w:t>
            </w:r>
          </w:p>
          <w:p w14:paraId="5956F4A7" w14:textId="77777777" w:rsidR="00AC23D8" w:rsidRPr="00D46328" w:rsidRDefault="00AC23D8" w:rsidP="00AC23D8">
            <w:pPr>
              <w:spacing w:line="276" w:lineRule="auto"/>
              <w:ind w:left="108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F49F1A" w14:textId="77777777" w:rsidR="00AC23D8" w:rsidRPr="00D4632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W przyjętym przykładzie: 28% x 50% x 1 000 000 euro = 140 000 euro dopuszczalnego finansowania publicznego przypadającego na działalność gospodarczą w danym roku. Jednocześnie jest to kwota podlegająca legalizacji pomocy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7E88B2FC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D476834" w14:textId="77777777" w:rsidR="00AC23D8" w:rsidRDefault="00AC23D8" w:rsidP="00AC23D8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color w:val="auto"/>
                <w:sz w:val="22"/>
                <w:szCs w:val="22"/>
              </w:rPr>
              <w:t xml:space="preserve">w ostatnim kroku należy wyliczyć kwotę przypadającą do zwrotu (Z) w danym roku: </w:t>
            </w:r>
          </w:p>
          <w:p w14:paraId="17757A12" w14:textId="77777777" w:rsidR="00AC23D8" w:rsidRPr="00D13E20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10D8BC97" w14:textId="77777777" w:rsidR="00AC23D8" w:rsidRDefault="00AC23D8" w:rsidP="00AC23D8">
            <w:pPr>
              <w:pStyle w:val="Default"/>
              <w:ind w:left="108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 = RA – (FPDNG + FPDG)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 (gdzie RA oznacza “roczną alokację” udzielonego dofinansowania) </w:t>
            </w:r>
          </w:p>
          <w:p w14:paraId="65C79B3C" w14:textId="77777777" w:rsidR="00AC23D8" w:rsidRPr="00D46328" w:rsidRDefault="00AC23D8" w:rsidP="00AC23D8">
            <w:pPr>
              <w:pStyle w:val="Default"/>
              <w:ind w:left="108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59B3759" w14:textId="49F83435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W przyjętym przykładzie: 1 000 000 euro – (720 000 euro + 140 000 euro) = 140</w:t>
            </w:r>
            <w:r w:rsidR="001932A2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euro stanowi kwotę przypadającą do zwrotu. </w:t>
            </w:r>
          </w:p>
          <w:p w14:paraId="1EA7100D" w14:textId="77777777" w:rsidR="00AC23D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A1F777A" w14:textId="77777777" w:rsidR="00AC23D8" w:rsidRPr="00D46328" w:rsidRDefault="00AC23D8" w:rsidP="00AC23D8">
            <w:pPr>
              <w:pStyle w:val="Default"/>
              <w:ind w:left="108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43731FF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D13E2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Analogiczna kalkulacja powinna być przeprowadzona oddzielnie dla każdego roku w okresie amortyzacji infrastruktury, w którym nastąpiło przekroczenie dopuszczalnego (20%) limitu działalności pomocniczej. </w:t>
            </w:r>
          </w:p>
          <w:p w14:paraId="04860A10" w14:textId="77777777" w:rsidR="00AC23D8" w:rsidRPr="00D13E20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  <w:p w14:paraId="253CB632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UWAGA!!! Nie jest dopuszczalne zastosowanie rozwiązania, zgodnie z którym kwota przypadająca do zwrotu byłaby obliczana jedynie dla „nadwyżki” działalności gospodarczej ponad 20% dopuszczalnego limitu działalności pomocniczej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(w omawianym przypadku byłoby to 8%). </w:t>
            </w:r>
          </w:p>
          <w:p w14:paraId="2526605A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C4B1B69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Należy wskazać, że w powyższym przykładzie, dla uproszczenia kalkulacji, przyjęto założenie, że dofinansowanie zostało udzielone w wysokości 100% kosztów kwalifikowalnych, jednak przed wyliczeniem kwoty podlegającej wycofaniu należy 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 xml:space="preserve">uwzględnić fakt, że w danym projekcie dofinansowanie mogło zostać udzielone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w wysokości mniejszej niż maksymalna (100% kosztów kwalifikowalnych),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oraz ewentualne korekty kosztów lub pomniejszenia dofinansowania (związane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np. z rekalkulacją luki finansowej, zmianami kwalifikowalności VAT czy ewentualnymi korektami nałożonymi w międzyczasie). Dla przykładu, w sytuacji, gdy koszty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po korektach wyniosły 9 000 000 euro, a rzeczywista wielkość dofinansowania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(po uwzględnieniu korekt) wynosi 7 500 000 euro, wyliczenia w rozpatrywanym przykładzie wyglądałyby następująco: </w:t>
            </w:r>
          </w:p>
          <w:p w14:paraId="78676641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1CAC705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- „roczna alokacja” kosztów wynosi: 1/10 x 9 000 000 euro = 900 000 euro, </w:t>
            </w:r>
          </w:p>
          <w:p w14:paraId="4B41EAF3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ADF47D7" w14:textId="45C22E08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>- “roczna alokacja” udzielonego dofinansowania wynosi: 1/10 x 7 500 000 euro = 750</w:t>
            </w:r>
            <w:r w:rsidR="0030588C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000 euro. </w:t>
            </w:r>
          </w:p>
          <w:p w14:paraId="22D3DB99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49C43EA" w14:textId="77777777" w:rsidR="00AC23D8" w:rsidRPr="001932A2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</w:pPr>
            <w:r w:rsidRPr="001932A2"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  <w:t xml:space="preserve">1) FPDNG: 72% x 100% x 900 000 euro = 648 000 euro </w:t>
            </w:r>
          </w:p>
          <w:p w14:paraId="69E63ED9" w14:textId="77777777" w:rsidR="00AC23D8" w:rsidRPr="001932A2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</w:pPr>
            <w:r w:rsidRPr="001932A2">
              <w:rPr>
                <w:rFonts w:ascii="Arial" w:hAnsi="Arial" w:cs="Arial"/>
                <w:color w:val="auto"/>
                <w:sz w:val="22"/>
                <w:szCs w:val="22"/>
                <w:lang w:val="it-IT"/>
              </w:rPr>
              <w:t xml:space="preserve">2) FPDG: 28% x 50% x 900 000 euro = 126 000 euro </w:t>
            </w:r>
          </w:p>
          <w:p w14:paraId="4105F8AD" w14:textId="77777777" w:rsidR="00AC23D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46328">
              <w:rPr>
                <w:rFonts w:ascii="Arial" w:hAnsi="Arial" w:cs="Arial"/>
                <w:color w:val="auto"/>
                <w:sz w:val="22"/>
                <w:szCs w:val="22"/>
              </w:rPr>
              <w:t xml:space="preserve">3) Z: 750 000 euro – 774 000 euro = -24 000 euro </w:t>
            </w:r>
          </w:p>
          <w:p w14:paraId="1D21E9A1" w14:textId="77777777" w:rsidR="00AC23D8" w:rsidRPr="00D46328" w:rsidRDefault="00AC23D8" w:rsidP="00AC23D8">
            <w:pPr>
              <w:pStyle w:val="Default"/>
              <w:ind w:left="709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90C84BA" w14:textId="77777777" w:rsidR="00AC23D8" w:rsidRDefault="00AC23D8" w:rsidP="00AC23D8">
            <w:pPr>
              <w:spacing w:line="276" w:lineRule="auto"/>
              <w:ind w:left="70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6328">
              <w:rPr>
                <w:rFonts w:ascii="Arial" w:hAnsi="Arial" w:cs="Arial"/>
                <w:sz w:val="22"/>
                <w:szCs w:val="22"/>
              </w:rPr>
              <w:t>Ponieważ kwota przypadająca do zwrotu jest mniejsza od zera, oznacza to, że w danym roku nie wystąpiło nadmierne finansowanie publiczne działalności gospodarczej prowadzonej na infrastrukturze badawczej, zatem nie ma obowiązku zwrotu dofinansowania. Natomiast 126 000 euro podlega legalizacji pomocy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4CB919" w14:textId="77777777" w:rsidR="00AC23D8" w:rsidRPr="001573A8" w:rsidRDefault="00AC23D8" w:rsidP="00971C07">
            <w:pPr>
              <w:ind w:left="28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65D2A5" w14:textId="77777777" w:rsidR="00EE6CF9" w:rsidRPr="001573A8" w:rsidRDefault="00EE6CF9" w:rsidP="00D13E20">
            <w:pPr>
              <w:spacing w:line="276" w:lineRule="auto"/>
              <w:ind w:left="70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316" w:rsidRPr="00E97316" w14:paraId="2C565DFC" w14:textId="77777777" w:rsidTr="00BA02B9">
        <w:trPr>
          <w:trHeight w:val="416"/>
        </w:trPr>
        <w:tc>
          <w:tcPr>
            <w:tcW w:w="5000" w:type="pct"/>
            <w:shd w:val="clear" w:color="auto" w:fill="FFFFFF"/>
          </w:tcPr>
          <w:p w14:paraId="0B328649" w14:textId="77777777" w:rsidR="00E97316" w:rsidRPr="00E97316" w:rsidRDefault="00E97316" w:rsidP="007C5195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60609F" w14:textId="77777777" w:rsidR="002C1F24" w:rsidRPr="00E97316" w:rsidRDefault="002C1F24" w:rsidP="002C1F24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74675F98" w14:textId="77777777" w:rsidR="000E5BEE" w:rsidRPr="00E97316" w:rsidRDefault="007C5195" w:rsidP="002C1F24">
      <w:pPr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…………………………………….......</w:t>
      </w:r>
      <w:r w:rsidR="002C1F24" w:rsidRPr="00E97316">
        <w:rPr>
          <w:rFonts w:ascii="Arial" w:hAnsi="Arial" w:cs="Arial"/>
          <w:sz w:val="22"/>
          <w:szCs w:val="22"/>
        </w:rPr>
        <w:t xml:space="preserve">                               ............................................................</w:t>
      </w:r>
    </w:p>
    <w:p w14:paraId="3CCB2E06" w14:textId="77777777" w:rsidR="007C5195" w:rsidRPr="00E97316" w:rsidRDefault="00E97316" w:rsidP="00E97316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</w:t>
      </w:r>
      <w:r w:rsidR="000E5BEE" w:rsidRPr="00E97316">
        <w:rPr>
          <w:rFonts w:ascii="Arial" w:hAnsi="Arial" w:cs="Arial"/>
          <w:sz w:val="22"/>
          <w:szCs w:val="22"/>
        </w:rPr>
        <w:t>podpis</w:t>
      </w:r>
      <w:r w:rsidR="007C5195" w:rsidRPr="00E97316">
        <w:rPr>
          <w:rFonts w:ascii="Arial" w:hAnsi="Arial" w:cs="Arial"/>
          <w:sz w:val="22"/>
          <w:szCs w:val="22"/>
        </w:rPr>
        <w:t xml:space="preserve"> i pieczątka </w:t>
      </w:r>
      <w:r w:rsidR="005A5312">
        <w:rPr>
          <w:rFonts w:ascii="Arial" w:hAnsi="Arial" w:cs="Arial"/>
          <w:sz w:val="22"/>
          <w:szCs w:val="22"/>
        </w:rPr>
        <w:t>Beneficjenta</w:t>
      </w:r>
      <w:r w:rsidR="007C5195" w:rsidRPr="00E97316">
        <w:rPr>
          <w:rFonts w:ascii="Arial" w:hAnsi="Arial" w:cs="Arial"/>
          <w:sz w:val="22"/>
          <w:szCs w:val="22"/>
        </w:rPr>
        <w:t>/osoby</w:t>
      </w:r>
      <w:r w:rsidRPr="00E97316">
        <w:rPr>
          <w:rFonts w:ascii="Arial" w:hAnsi="Arial" w:cs="Arial"/>
          <w:sz w:val="22"/>
          <w:szCs w:val="22"/>
        </w:rPr>
        <w:t xml:space="preserve">          </w:t>
      </w:r>
      <w:r w:rsidR="005A5312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>(</w:t>
      </w:r>
      <w:r w:rsidR="002C1F24" w:rsidRPr="00E97316">
        <w:rPr>
          <w:rFonts w:ascii="Arial" w:hAnsi="Arial" w:cs="Arial"/>
          <w:sz w:val="22"/>
          <w:szCs w:val="22"/>
        </w:rPr>
        <w:t>podpis i pieczątka osoby odpowiedzialnej za</w:t>
      </w:r>
    </w:p>
    <w:p w14:paraId="59B173EB" w14:textId="77777777" w:rsidR="007C5195" w:rsidRPr="00E97316" w:rsidRDefault="000E5BEE" w:rsidP="00E97316">
      <w:pPr>
        <w:spacing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reprezentującej </w:t>
      </w:r>
      <w:r w:rsidR="00E97316">
        <w:rPr>
          <w:rFonts w:ascii="Arial" w:hAnsi="Arial" w:cs="Arial"/>
          <w:sz w:val="22"/>
          <w:szCs w:val="22"/>
        </w:rPr>
        <w:t>Beneficjenta</w:t>
      </w:r>
      <w:r w:rsidR="00E97316" w:rsidRPr="00E97316">
        <w:rPr>
          <w:rFonts w:ascii="Arial" w:hAnsi="Arial" w:cs="Arial"/>
          <w:sz w:val="22"/>
          <w:szCs w:val="22"/>
        </w:rPr>
        <w:t>)</w:t>
      </w:r>
      <w:r w:rsidRPr="00E97316">
        <w:rPr>
          <w:rFonts w:ascii="Arial" w:hAnsi="Arial" w:cs="Arial"/>
          <w:sz w:val="22"/>
          <w:szCs w:val="22"/>
        </w:rPr>
        <w:t xml:space="preserve">  </w:t>
      </w:r>
      <w:r w:rsidR="002C1F24" w:rsidRPr="00E97316">
        <w:rPr>
          <w:rFonts w:ascii="Arial" w:hAnsi="Arial" w:cs="Arial"/>
          <w:sz w:val="22"/>
          <w:szCs w:val="22"/>
        </w:rPr>
        <w:t xml:space="preserve">        </w:t>
      </w:r>
      <w:r w:rsidR="00E97316">
        <w:rPr>
          <w:rFonts w:ascii="Arial" w:hAnsi="Arial" w:cs="Arial"/>
          <w:sz w:val="22"/>
          <w:szCs w:val="22"/>
        </w:rPr>
        <w:t xml:space="preserve">                    </w:t>
      </w:r>
      <w:r w:rsidR="005A5312">
        <w:rPr>
          <w:rFonts w:ascii="Arial" w:hAnsi="Arial" w:cs="Arial"/>
          <w:sz w:val="22"/>
          <w:szCs w:val="22"/>
        </w:rPr>
        <w:t xml:space="preserve">   </w:t>
      </w:r>
      <w:r w:rsidR="002C1F24" w:rsidRPr="00E97316">
        <w:rPr>
          <w:rFonts w:ascii="Arial" w:hAnsi="Arial" w:cs="Arial"/>
          <w:sz w:val="22"/>
          <w:szCs w:val="22"/>
        </w:rPr>
        <w:t xml:space="preserve">sprawy finansowe Projektu u </w:t>
      </w:r>
      <w:r w:rsidR="00E97316">
        <w:rPr>
          <w:rFonts w:ascii="Arial" w:hAnsi="Arial" w:cs="Arial"/>
          <w:sz w:val="22"/>
          <w:szCs w:val="22"/>
        </w:rPr>
        <w:t>Beneficjenta)</w:t>
      </w:r>
    </w:p>
    <w:sectPr w:rsidR="007C5195" w:rsidRPr="00E9731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F9A68" w14:textId="77777777" w:rsidR="004A4968" w:rsidRDefault="004A4968">
      <w:pPr>
        <w:spacing w:line="240" w:lineRule="auto"/>
      </w:pPr>
      <w:r>
        <w:separator/>
      </w:r>
    </w:p>
  </w:endnote>
  <w:endnote w:type="continuationSeparator" w:id="0">
    <w:p w14:paraId="0ACE133C" w14:textId="77777777" w:rsidR="004A4968" w:rsidRDefault="004A49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nQuanYi Micro Hei">
    <w:altName w:val="MS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352DC" w14:textId="77777777" w:rsidR="004A4968" w:rsidRDefault="004A4968">
      <w:pPr>
        <w:spacing w:line="240" w:lineRule="auto"/>
      </w:pPr>
      <w:r>
        <w:separator/>
      </w:r>
    </w:p>
  </w:footnote>
  <w:footnote w:type="continuationSeparator" w:id="0">
    <w:p w14:paraId="423A1D73" w14:textId="77777777" w:rsidR="004A4968" w:rsidRDefault="004A4968">
      <w:pPr>
        <w:spacing w:line="240" w:lineRule="auto"/>
      </w:pPr>
      <w:r>
        <w:continuationSeparator/>
      </w:r>
    </w:p>
  </w:footnote>
  <w:footnote w:id="1">
    <w:p w14:paraId="673A5F84" w14:textId="77777777" w:rsidR="00BE081C" w:rsidRPr="0092352B" w:rsidRDefault="00BE081C" w:rsidP="00A12935">
      <w:pPr>
        <w:pStyle w:val="Tekstprzypisudolnego"/>
        <w:spacing w:before="120" w:after="120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352B">
        <w:rPr>
          <w:rFonts w:ascii="Arial" w:hAnsi="Arial" w:cs="Arial"/>
          <w:sz w:val="16"/>
          <w:szCs w:val="16"/>
        </w:rPr>
        <w:t xml:space="preserve"> Jednocześnie, </w:t>
      </w:r>
      <w:r w:rsidR="0092352B">
        <w:rPr>
          <w:rFonts w:ascii="Arial" w:hAnsi="Arial" w:cs="Arial"/>
          <w:bCs/>
          <w:sz w:val="16"/>
          <w:szCs w:val="16"/>
        </w:rPr>
        <w:t>jeżeli na daną infrastrukturę B</w:t>
      </w:r>
      <w:r w:rsidRPr="0092352B">
        <w:rPr>
          <w:rFonts w:ascii="Arial" w:hAnsi="Arial" w:cs="Arial"/>
          <w:bCs/>
          <w:sz w:val="16"/>
          <w:szCs w:val="16"/>
        </w:rPr>
        <w:t xml:space="preserve">eneficjent otrzymuje wsparcie publiczne również z innych źródeł, należy brać pod uwagę wszystkie źródła finansowania </w:t>
      </w:r>
      <w:r w:rsidRPr="0092352B">
        <w:rPr>
          <w:rFonts w:ascii="Arial" w:hAnsi="Arial" w:cs="Arial"/>
          <w:sz w:val="16"/>
          <w:szCs w:val="16"/>
        </w:rPr>
        <w:t xml:space="preserve">(dofinansowanie ze środków </w:t>
      </w:r>
      <w:r w:rsidR="00190246" w:rsidRPr="001573A8">
        <w:rPr>
          <w:rFonts w:ascii="Arial" w:hAnsi="Arial" w:cs="Arial"/>
          <w:sz w:val="16"/>
          <w:szCs w:val="16"/>
        </w:rPr>
        <w:t>FEŚ</w:t>
      </w:r>
      <w:r w:rsidRPr="0092352B">
        <w:rPr>
          <w:rFonts w:ascii="Arial" w:hAnsi="Arial" w:cs="Arial"/>
          <w:sz w:val="16"/>
          <w:szCs w:val="16"/>
        </w:rPr>
        <w:t xml:space="preserve"> i dotacja M</w:t>
      </w:r>
      <w:r w:rsidR="00EE6CF9">
        <w:rPr>
          <w:rFonts w:ascii="Arial" w:hAnsi="Arial" w:cs="Arial"/>
          <w:sz w:val="16"/>
          <w:szCs w:val="16"/>
        </w:rPr>
        <w:t>EiN</w:t>
      </w:r>
      <w:r w:rsidRPr="0092352B">
        <w:rPr>
          <w:rFonts w:ascii="Arial" w:hAnsi="Arial" w:cs="Arial"/>
          <w:sz w:val="16"/>
          <w:szCs w:val="16"/>
        </w:rPr>
        <w:t xml:space="preserve"> lub inne środki publiczne) i zasady, </w:t>
      </w:r>
      <w:r w:rsidR="00EE6CF9">
        <w:rPr>
          <w:rFonts w:ascii="Arial" w:hAnsi="Arial" w:cs="Arial"/>
          <w:sz w:val="16"/>
          <w:szCs w:val="16"/>
        </w:rPr>
        <w:br/>
      </w:r>
      <w:r w:rsidRPr="0092352B">
        <w:rPr>
          <w:rFonts w:ascii="Arial" w:hAnsi="Arial" w:cs="Arial"/>
          <w:sz w:val="16"/>
          <w:szCs w:val="16"/>
        </w:rPr>
        <w:t>na jakic</w:t>
      </w:r>
      <w:r w:rsidR="0092352B">
        <w:rPr>
          <w:rFonts w:ascii="Arial" w:hAnsi="Arial" w:cs="Arial"/>
          <w:sz w:val="16"/>
          <w:szCs w:val="16"/>
        </w:rPr>
        <w:t>h wsparcie to zostało udzielone</w:t>
      </w:r>
      <w:r w:rsidRPr="0092352B">
        <w:rPr>
          <w:rFonts w:ascii="Arial" w:hAnsi="Arial" w:cs="Arial"/>
          <w:sz w:val="16"/>
          <w:szCs w:val="16"/>
        </w:rPr>
        <w:t xml:space="preserve"> </w:t>
      </w:r>
      <w:r w:rsidRPr="0092352B">
        <w:rPr>
          <w:rFonts w:ascii="Arial" w:hAnsi="Arial" w:cs="Arial"/>
          <w:bCs/>
          <w:sz w:val="16"/>
          <w:szCs w:val="16"/>
        </w:rPr>
        <w:t>oraz włączyć je w zakres monitorowania</w:t>
      </w:r>
      <w:r w:rsidR="00BA25C2" w:rsidRPr="0092352B">
        <w:rPr>
          <w:rFonts w:ascii="Arial" w:hAnsi="Arial" w:cs="Arial"/>
          <w:bCs/>
          <w:sz w:val="16"/>
          <w:szCs w:val="16"/>
        </w:rPr>
        <w:t xml:space="preserve"> i uwzględnić w składanych sprawozdaniach</w:t>
      </w:r>
      <w:r w:rsidRPr="0092352B">
        <w:rPr>
          <w:rFonts w:ascii="Arial" w:hAnsi="Arial" w:cs="Arial"/>
          <w:sz w:val="16"/>
          <w:szCs w:val="16"/>
        </w:rPr>
        <w:t>.</w:t>
      </w:r>
    </w:p>
  </w:footnote>
  <w:footnote w:id="2">
    <w:p w14:paraId="456F410A" w14:textId="77777777" w:rsidR="00C10ED3" w:rsidRPr="0092352B" w:rsidRDefault="00C10ED3" w:rsidP="00A12935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352B">
        <w:rPr>
          <w:rFonts w:ascii="Arial" w:hAnsi="Arial" w:cs="Arial"/>
          <w:sz w:val="16"/>
          <w:szCs w:val="16"/>
        </w:rPr>
        <w:t xml:space="preserve"> Na gruncie polskiego prawa możliwe są dwie metody dokonywania amortyzacji:</w:t>
      </w:r>
    </w:p>
    <w:p w14:paraId="581F00A9" w14:textId="77777777" w:rsidR="00C10ED3" w:rsidRPr="0092352B" w:rsidRDefault="00C10ED3" w:rsidP="00A12935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a. amortyzacja na podstawie ustawy o rachunkowości:</w:t>
      </w:r>
    </w:p>
    <w:p w14:paraId="3869400B" w14:textId="77777777" w:rsidR="00C10ED3" w:rsidRPr="0092352B" w:rsidRDefault="00C10ED3" w:rsidP="0092352B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Przy ustalaniu okresu amortyzacji i rocznej stawki amortyzacyjnej uw</w:t>
      </w:r>
      <w:r w:rsidR="0092352B">
        <w:rPr>
          <w:rFonts w:ascii="Arial" w:hAnsi="Arial" w:cs="Arial"/>
          <w:sz w:val="16"/>
          <w:szCs w:val="16"/>
        </w:rPr>
        <w:t xml:space="preserve">zględnia się okres ekonomicznej </w:t>
      </w:r>
      <w:r w:rsidRPr="0092352B">
        <w:rPr>
          <w:rFonts w:ascii="Arial" w:hAnsi="Arial" w:cs="Arial"/>
          <w:sz w:val="16"/>
          <w:szCs w:val="16"/>
        </w:rPr>
        <w:t>użyteczności środka trwałego</w:t>
      </w:r>
      <w:r w:rsidR="0092352B">
        <w:rPr>
          <w:rFonts w:ascii="Arial" w:hAnsi="Arial" w:cs="Arial"/>
          <w:sz w:val="16"/>
          <w:szCs w:val="16"/>
        </w:rPr>
        <w:t>,</w:t>
      </w:r>
      <w:r w:rsidRPr="0092352B">
        <w:rPr>
          <w:rFonts w:ascii="Arial" w:hAnsi="Arial" w:cs="Arial"/>
          <w:sz w:val="16"/>
          <w:szCs w:val="16"/>
        </w:rPr>
        <w:t xml:space="preserve"> tj. czas, w którym według oczekiwań </w:t>
      </w:r>
      <w:r w:rsidR="0092352B">
        <w:rPr>
          <w:rFonts w:ascii="Arial" w:hAnsi="Arial" w:cs="Arial"/>
          <w:sz w:val="16"/>
          <w:szCs w:val="16"/>
        </w:rPr>
        <w:t xml:space="preserve">środek trwały będzie użytkowany </w:t>
      </w:r>
      <w:r w:rsidRPr="0092352B">
        <w:rPr>
          <w:rFonts w:ascii="Arial" w:hAnsi="Arial" w:cs="Arial"/>
          <w:sz w:val="16"/>
          <w:szCs w:val="16"/>
        </w:rPr>
        <w:t>przez jednostkę i z tego tytułu będzie ona osiągała korzyści ekonomiczne.</w:t>
      </w:r>
    </w:p>
    <w:p w14:paraId="38CAA802" w14:textId="77777777" w:rsidR="00C10ED3" w:rsidRPr="0092352B" w:rsidRDefault="00C10ED3" w:rsidP="00A12935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b. amortyzacja na podstawie ustawy o podatku dochodowym od osób fizycznych i prawnych:</w:t>
      </w:r>
    </w:p>
    <w:p w14:paraId="519C2F8A" w14:textId="77777777" w:rsidR="00C10ED3" w:rsidRPr="0092352B" w:rsidRDefault="00C10ED3" w:rsidP="00A12935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Odpisów amortyzacyjnych dokonuje się na podstawie planu amortyzacji sporządzonego z zastosowaniem stawek przewidzianych w wykazach oraz określonych metod dla posz</w:t>
      </w:r>
      <w:r w:rsidR="0092352B">
        <w:rPr>
          <w:rFonts w:ascii="Arial" w:hAnsi="Arial" w:cs="Arial"/>
          <w:sz w:val="16"/>
          <w:szCs w:val="16"/>
        </w:rPr>
        <w:t xml:space="preserve">czególnych składników aktywów, </w:t>
      </w:r>
      <w:r w:rsidRPr="0092352B">
        <w:rPr>
          <w:rFonts w:ascii="Arial" w:hAnsi="Arial" w:cs="Arial"/>
          <w:sz w:val="16"/>
          <w:szCs w:val="16"/>
        </w:rPr>
        <w:t xml:space="preserve">dla zakupów powyżej </w:t>
      </w:r>
      <w:r w:rsidR="0092352B">
        <w:rPr>
          <w:rFonts w:ascii="Arial" w:hAnsi="Arial" w:cs="Arial"/>
          <w:sz w:val="16"/>
          <w:szCs w:val="16"/>
        </w:rPr>
        <w:t xml:space="preserve">10 000,00 </w:t>
      </w:r>
      <w:r w:rsidRPr="0092352B">
        <w:rPr>
          <w:rFonts w:ascii="Arial" w:hAnsi="Arial" w:cs="Arial"/>
          <w:sz w:val="16"/>
          <w:szCs w:val="16"/>
        </w:rPr>
        <w:t>zł (amortyzacja liniowa, degresywna, stawki indywidualne).</w:t>
      </w:r>
    </w:p>
    <w:p w14:paraId="6FD8A0AA" w14:textId="77777777" w:rsidR="00C10ED3" w:rsidRPr="0092352B" w:rsidRDefault="00C10ED3" w:rsidP="00A12935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92352B">
        <w:rPr>
          <w:rFonts w:ascii="Arial" w:hAnsi="Arial" w:cs="Arial"/>
          <w:sz w:val="16"/>
          <w:szCs w:val="16"/>
        </w:rPr>
        <w:t>Należy mieć na uwadze, że konsekwencją powyższego jest konieczność stosowania wybranej metody w zakresie całego mechanizmu monitorowania i wycofania.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B5B6" w14:textId="043AE17B" w:rsidR="00190246" w:rsidRDefault="00E276DB" w:rsidP="00190246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26D9B93A" wp14:editId="6C48D911">
          <wp:extent cx="5676265" cy="439420"/>
          <wp:effectExtent l="0" t="0" r="635" b="0"/>
          <wp:docPr id="2" name="Obraz 1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26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B757F"/>
    <w:multiLevelType w:val="hybridMultilevel"/>
    <w:tmpl w:val="D7AEB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068D2"/>
    <w:multiLevelType w:val="hybridMultilevel"/>
    <w:tmpl w:val="3216DE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1A69E3C">
      <w:numFmt w:val="none"/>
      <w:lvlText w:val=""/>
      <w:lvlJc w:val="left"/>
      <w:pPr>
        <w:tabs>
          <w:tab w:val="num" w:pos="360"/>
        </w:tabs>
      </w:pPr>
    </w:lvl>
    <w:lvl w:ilvl="2" w:tplc="D84EE8B8">
      <w:numFmt w:val="none"/>
      <w:lvlText w:val=""/>
      <w:lvlJc w:val="left"/>
      <w:pPr>
        <w:tabs>
          <w:tab w:val="num" w:pos="360"/>
        </w:tabs>
      </w:pPr>
    </w:lvl>
    <w:lvl w:ilvl="3" w:tplc="7DFA6F92">
      <w:numFmt w:val="none"/>
      <w:lvlText w:val=""/>
      <w:lvlJc w:val="left"/>
      <w:pPr>
        <w:tabs>
          <w:tab w:val="num" w:pos="360"/>
        </w:tabs>
      </w:pPr>
    </w:lvl>
    <w:lvl w:ilvl="4" w:tplc="989C304C">
      <w:numFmt w:val="none"/>
      <w:lvlText w:val=""/>
      <w:lvlJc w:val="left"/>
      <w:pPr>
        <w:tabs>
          <w:tab w:val="num" w:pos="360"/>
        </w:tabs>
      </w:pPr>
    </w:lvl>
    <w:lvl w:ilvl="5" w:tplc="228E0DBA">
      <w:numFmt w:val="none"/>
      <w:lvlText w:val=""/>
      <w:lvlJc w:val="left"/>
      <w:pPr>
        <w:tabs>
          <w:tab w:val="num" w:pos="360"/>
        </w:tabs>
      </w:pPr>
    </w:lvl>
    <w:lvl w:ilvl="6" w:tplc="FD3CAB42">
      <w:numFmt w:val="none"/>
      <w:lvlText w:val=""/>
      <w:lvlJc w:val="left"/>
      <w:pPr>
        <w:tabs>
          <w:tab w:val="num" w:pos="360"/>
        </w:tabs>
      </w:pPr>
    </w:lvl>
    <w:lvl w:ilvl="7" w:tplc="8DB61E84">
      <w:numFmt w:val="none"/>
      <w:lvlText w:val=""/>
      <w:lvlJc w:val="left"/>
      <w:pPr>
        <w:tabs>
          <w:tab w:val="num" w:pos="360"/>
        </w:tabs>
      </w:pPr>
    </w:lvl>
    <w:lvl w:ilvl="8" w:tplc="206C11F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FAE7F02"/>
    <w:multiLevelType w:val="hybridMultilevel"/>
    <w:tmpl w:val="A9686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946CD"/>
    <w:multiLevelType w:val="hybridMultilevel"/>
    <w:tmpl w:val="C0587D0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445D2"/>
    <w:multiLevelType w:val="hybridMultilevel"/>
    <w:tmpl w:val="A2562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E63DD"/>
    <w:multiLevelType w:val="hybridMultilevel"/>
    <w:tmpl w:val="E1C85F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8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AF2565"/>
    <w:multiLevelType w:val="hybridMultilevel"/>
    <w:tmpl w:val="986A9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F3C62"/>
    <w:multiLevelType w:val="hybridMultilevel"/>
    <w:tmpl w:val="552013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D36A05"/>
    <w:multiLevelType w:val="hybridMultilevel"/>
    <w:tmpl w:val="179C4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F6991"/>
    <w:multiLevelType w:val="hybridMultilevel"/>
    <w:tmpl w:val="211694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A9095F"/>
    <w:multiLevelType w:val="hybridMultilevel"/>
    <w:tmpl w:val="7834D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23069"/>
    <w:multiLevelType w:val="hybridMultilevel"/>
    <w:tmpl w:val="B4221658"/>
    <w:lvl w:ilvl="0" w:tplc="020E2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E5423"/>
    <w:multiLevelType w:val="hybridMultilevel"/>
    <w:tmpl w:val="CEDED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03B46"/>
    <w:multiLevelType w:val="hybridMultilevel"/>
    <w:tmpl w:val="405C6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EE7279"/>
    <w:multiLevelType w:val="hybridMultilevel"/>
    <w:tmpl w:val="E528E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76A97"/>
    <w:multiLevelType w:val="hybridMultilevel"/>
    <w:tmpl w:val="C6D8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097328">
    <w:abstractNumId w:val="7"/>
  </w:num>
  <w:num w:numId="2" w16cid:durableId="1439907421">
    <w:abstractNumId w:val="7"/>
  </w:num>
  <w:num w:numId="3" w16cid:durableId="1046683733">
    <w:abstractNumId w:val="2"/>
  </w:num>
  <w:num w:numId="4" w16cid:durableId="619186893">
    <w:abstractNumId w:val="18"/>
  </w:num>
  <w:num w:numId="5" w16cid:durableId="11182826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38577725">
    <w:abstractNumId w:val="8"/>
  </w:num>
  <w:num w:numId="7" w16cid:durableId="12106126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3440">
    <w:abstractNumId w:val="1"/>
  </w:num>
  <w:num w:numId="9" w16cid:durableId="3675335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7033844">
    <w:abstractNumId w:val="6"/>
  </w:num>
  <w:num w:numId="11" w16cid:durableId="656692916">
    <w:abstractNumId w:val="1"/>
  </w:num>
  <w:num w:numId="12" w16cid:durableId="273178498">
    <w:abstractNumId w:val="3"/>
  </w:num>
  <w:num w:numId="13" w16cid:durableId="972904985">
    <w:abstractNumId w:val="12"/>
  </w:num>
  <w:num w:numId="14" w16cid:durableId="723021277">
    <w:abstractNumId w:val="19"/>
  </w:num>
  <w:num w:numId="15" w16cid:durableId="2044164926">
    <w:abstractNumId w:val="4"/>
  </w:num>
  <w:num w:numId="16" w16cid:durableId="1599634271">
    <w:abstractNumId w:val="20"/>
  </w:num>
  <w:num w:numId="17" w16cid:durableId="944311454">
    <w:abstractNumId w:val="11"/>
  </w:num>
  <w:num w:numId="18" w16cid:durableId="1060246829">
    <w:abstractNumId w:val="21"/>
  </w:num>
  <w:num w:numId="19" w16cid:durableId="50739558">
    <w:abstractNumId w:val="17"/>
  </w:num>
  <w:num w:numId="20" w16cid:durableId="741605805">
    <w:abstractNumId w:val="15"/>
  </w:num>
  <w:num w:numId="21" w16cid:durableId="194543220">
    <w:abstractNumId w:val="14"/>
  </w:num>
  <w:num w:numId="22" w16cid:durableId="3171911">
    <w:abstractNumId w:val="0"/>
  </w:num>
  <w:num w:numId="23" w16cid:durableId="1966039472">
    <w:abstractNumId w:val="5"/>
  </w:num>
  <w:num w:numId="24" w16cid:durableId="1618636860">
    <w:abstractNumId w:val="16"/>
  </w:num>
  <w:num w:numId="25" w16cid:durableId="138421996">
    <w:abstractNumId w:val="13"/>
  </w:num>
  <w:num w:numId="26" w16cid:durableId="19374728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7F8"/>
    <w:rsid w:val="000265E1"/>
    <w:rsid w:val="00043A84"/>
    <w:rsid w:val="0009673C"/>
    <w:rsid w:val="000C5491"/>
    <w:rsid w:val="000D3E7F"/>
    <w:rsid w:val="000E5BEE"/>
    <w:rsid w:val="001033DE"/>
    <w:rsid w:val="00143192"/>
    <w:rsid w:val="0014353E"/>
    <w:rsid w:val="001573A8"/>
    <w:rsid w:val="001623EA"/>
    <w:rsid w:val="001806E2"/>
    <w:rsid w:val="00190246"/>
    <w:rsid w:val="001932A2"/>
    <w:rsid w:val="00194226"/>
    <w:rsid w:val="001E3BC6"/>
    <w:rsid w:val="001F0ADB"/>
    <w:rsid w:val="002304BC"/>
    <w:rsid w:val="00232A2E"/>
    <w:rsid w:val="00245328"/>
    <w:rsid w:val="002528E6"/>
    <w:rsid w:val="002639F6"/>
    <w:rsid w:val="0026671F"/>
    <w:rsid w:val="00284713"/>
    <w:rsid w:val="002954EC"/>
    <w:rsid w:val="002A34A4"/>
    <w:rsid w:val="002A5B45"/>
    <w:rsid w:val="002B2F3B"/>
    <w:rsid w:val="002C1F24"/>
    <w:rsid w:val="0030588C"/>
    <w:rsid w:val="00320E04"/>
    <w:rsid w:val="003231A8"/>
    <w:rsid w:val="00331D98"/>
    <w:rsid w:val="00334FA2"/>
    <w:rsid w:val="00343CD9"/>
    <w:rsid w:val="00360D59"/>
    <w:rsid w:val="00385A4B"/>
    <w:rsid w:val="00385BC2"/>
    <w:rsid w:val="00391FB7"/>
    <w:rsid w:val="00394987"/>
    <w:rsid w:val="003A4BD8"/>
    <w:rsid w:val="003A6F65"/>
    <w:rsid w:val="003C4638"/>
    <w:rsid w:val="003C4F71"/>
    <w:rsid w:val="003D2622"/>
    <w:rsid w:val="003D281E"/>
    <w:rsid w:val="003D6854"/>
    <w:rsid w:val="00400D90"/>
    <w:rsid w:val="00401AD2"/>
    <w:rsid w:val="004043C1"/>
    <w:rsid w:val="004137F8"/>
    <w:rsid w:val="00455185"/>
    <w:rsid w:val="00457551"/>
    <w:rsid w:val="004A4968"/>
    <w:rsid w:val="004A5C97"/>
    <w:rsid w:val="004B6DA7"/>
    <w:rsid w:val="004C0F66"/>
    <w:rsid w:val="004D1572"/>
    <w:rsid w:val="004E5816"/>
    <w:rsid w:val="004F4B4B"/>
    <w:rsid w:val="004F7B29"/>
    <w:rsid w:val="005002A2"/>
    <w:rsid w:val="00505BB5"/>
    <w:rsid w:val="0054305E"/>
    <w:rsid w:val="0055710E"/>
    <w:rsid w:val="005706BB"/>
    <w:rsid w:val="00575081"/>
    <w:rsid w:val="00587910"/>
    <w:rsid w:val="005A5312"/>
    <w:rsid w:val="005E0B4E"/>
    <w:rsid w:val="00611521"/>
    <w:rsid w:val="006201B6"/>
    <w:rsid w:val="00623E7B"/>
    <w:rsid w:val="006577A5"/>
    <w:rsid w:val="006628B1"/>
    <w:rsid w:val="006A668C"/>
    <w:rsid w:val="006A6FEB"/>
    <w:rsid w:val="006A728E"/>
    <w:rsid w:val="006C24C3"/>
    <w:rsid w:val="006C63E5"/>
    <w:rsid w:val="006D6A4B"/>
    <w:rsid w:val="006E0EC4"/>
    <w:rsid w:val="00716C4A"/>
    <w:rsid w:val="00732EA0"/>
    <w:rsid w:val="007571A6"/>
    <w:rsid w:val="00774F08"/>
    <w:rsid w:val="00790B29"/>
    <w:rsid w:val="0079511B"/>
    <w:rsid w:val="007958B0"/>
    <w:rsid w:val="00795B3D"/>
    <w:rsid w:val="007A3279"/>
    <w:rsid w:val="007A4F56"/>
    <w:rsid w:val="007B2A16"/>
    <w:rsid w:val="007C5195"/>
    <w:rsid w:val="007F05EB"/>
    <w:rsid w:val="0080659E"/>
    <w:rsid w:val="00816894"/>
    <w:rsid w:val="008175CC"/>
    <w:rsid w:val="00843D40"/>
    <w:rsid w:val="0084472C"/>
    <w:rsid w:val="0085599C"/>
    <w:rsid w:val="00861CA9"/>
    <w:rsid w:val="008C11BE"/>
    <w:rsid w:val="008E2C42"/>
    <w:rsid w:val="008F557A"/>
    <w:rsid w:val="0092352B"/>
    <w:rsid w:val="00971C07"/>
    <w:rsid w:val="009B04F2"/>
    <w:rsid w:val="009E6FEE"/>
    <w:rsid w:val="009E774A"/>
    <w:rsid w:val="009F7450"/>
    <w:rsid w:val="009F7FD9"/>
    <w:rsid w:val="00A0098B"/>
    <w:rsid w:val="00A01DDF"/>
    <w:rsid w:val="00A12935"/>
    <w:rsid w:val="00A16DDA"/>
    <w:rsid w:val="00AA42B7"/>
    <w:rsid w:val="00AB2606"/>
    <w:rsid w:val="00AC23D8"/>
    <w:rsid w:val="00AD1846"/>
    <w:rsid w:val="00B32907"/>
    <w:rsid w:val="00B3496E"/>
    <w:rsid w:val="00B36197"/>
    <w:rsid w:val="00B40DF3"/>
    <w:rsid w:val="00B52CE9"/>
    <w:rsid w:val="00B707E8"/>
    <w:rsid w:val="00B920E2"/>
    <w:rsid w:val="00B95DC4"/>
    <w:rsid w:val="00BA02B9"/>
    <w:rsid w:val="00BA25C2"/>
    <w:rsid w:val="00BB0251"/>
    <w:rsid w:val="00BD0913"/>
    <w:rsid w:val="00BE081C"/>
    <w:rsid w:val="00C10ED3"/>
    <w:rsid w:val="00C23380"/>
    <w:rsid w:val="00C27018"/>
    <w:rsid w:val="00C43516"/>
    <w:rsid w:val="00C63EA4"/>
    <w:rsid w:val="00C855B5"/>
    <w:rsid w:val="00C91CE0"/>
    <w:rsid w:val="00CC4EF6"/>
    <w:rsid w:val="00CF11E3"/>
    <w:rsid w:val="00D13E20"/>
    <w:rsid w:val="00D20BAC"/>
    <w:rsid w:val="00D23E84"/>
    <w:rsid w:val="00D3718A"/>
    <w:rsid w:val="00D44D09"/>
    <w:rsid w:val="00D46328"/>
    <w:rsid w:val="00D5061A"/>
    <w:rsid w:val="00D876E1"/>
    <w:rsid w:val="00DA2EB2"/>
    <w:rsid w:val="00E276DB"/>
    <w:rsid w:val="00E447D7"/>
    <w:rsid w:val="00E57746"/>
    <w:rsid w:val="00E82FAD"/>
    <w:rsid w:val="00E97316"/>
    <w:rsid w:val="00EB793A"/>
    <w:rsid w:val="00EE1586"/>
    <w:rsid w:val="00EE6CF9"/>
    <w:rsid w:val="00EF1E8C"/>
    <w:rsid w:val="00F03690"/>
    <w:rsid w:val="00F23CF1"/>
    <w:rsid w:val="00F24E47"/>
    <w:rsid w:val="00F25065"/>
    <w:rsid w:val="00F42512"/>
    <w:rsid w:val="00F7156B"/>
    <w:rsid w:val="00F73550"/>
    <w:rsid w:val="00FC1DDA"/>
    <w:rsid w:val="00FE43D8"/>
    <w:rsid w:val="00FF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3599E"/>
  <w15:chartTrackingRefBased/>
  <w15:docId w15:val="{BE7C13E8-A9A8-42DD-B41E-4D390E28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</w:pPr>
    <w:rPr>
      <w:sz w:val="26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spacing w:before="360" w:after="24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120"/>
      <w:ind w:left="709"/>
      <w:jc w:val="both"/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ind w:left="567"/>
      <w:jc w:val="both"/>
      <w:outlineLvl w:val="2"/>
    </w:pPr>
    <w:rPr>
      <w:rFonts w:ascii="Arial" w:eastAsia="Calibri" w:hAnsi="Arial" w:cs="Arial"/>
      <w:b/>
      <w:bC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semiHidden/>
    <w:rPr>
      <w:rFonts w:ascii="Arial" w:hAnsi="Arial" w:cs="Times New Roman"/>
      <w:b/>
      <w:bCs/>
      <w:iCs/>
      <w:sz w:val="22"/>
      <w:szCs w:val="28"/>
      <w:lang w:eastAsia="en-US"/>
    </w:rPr>
  </w:style>
  <w:style w:type="paragraph" w:styleId="Tekstpodstawowy3">
    <w:name w:val="Body Text 3"/>
    <w:basedOn w:val="Normalny"/>
    <w:semiHidden/>
    <w:pPr>
      <w:ind w:left="924"/>
    </w:pPr>
    <w:rPr>
      <w:szCs w:val="16"/>
    </w:rPr>
  </w:style>
  <w:style w:type="character" w:styleId="Odwoanieprzypisudolnego">
    <w:name w:val="footnote reference"/>
    <w:semiHidden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  <w:spacing w:line="240" w:lineRule="auto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 w:line="240" w:lineRule="auto"/>
      <w:ind w:left="1202"/>
      <w:jc w:val="both"/>
    </w:pPr>
    <w:rPr>
      <w:sz w:val="24"/>
      <w:lang w:val="en-GB" w:eastAsia="en-GB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before="240" w:after="120" w:line="240" w:lineRule="auto"/>
      <w:ind w:left="482" w:hanging="482"/>
      <w:jc w:val="both"/>
    </w:pPr>
    <w:rPr>
      <w:rFonts w:ascii="Arial" w:hAnsi="Arial" w:cs="Arial"/>
      <w:bCs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806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C5491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491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0C5491"/>
    <w:rPr>
      <w:rFonts w:ascii="Calibri" w:eastAsia="Calibri" w:hAnsi="Calibr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C54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6201B6"/>
    <w:pPr>
      <w:widowControl w:val="0"/>
      <w:suppressLineNumbers/>
      <w:suppressAutoHyphens/>
      <w:spacing w:line="100" w:lineRule="atLeast"/>
    </w:pPr>
    <w:rPr>
      <w:rFonts w:eastAsia="WenQuanYi Micro Hei" w:cs="Lohit Hindi"/>
      <w:kern w:val="2"/>
      <w:sz w:val="24"/>
      <w:lang w:eastAsia="zh-CN" w:bidi="hi-IN"/>
    </w:rPr>
  </w:style>
  <w:style w:type="paragraph" w:customStyle="1" w:styleId="Tekstwstpniesformatowany">
    <w:name w:val="Tekst wstępnie sformatowany"/>
    <w:basedOn w:val="Normalny"/>
    <w:rsid w:val="006201B6"/>
    <w:pPr>
      <w:widowControl w:val="0"/>
      <w:suppressAutoHyphens/>
      <w:spacing w:line="100" w:lineRule="atLeast"/>
    </w:pPr>
    <w:rPr>
      <w:rFonts w:ascii="DejaVu Sans Mono" w:eastAsia="WenQuanYi Micro Hei" w:hAnsi="DejaVu Sans Mono" w:cs="Lohit Hindi"/>
      <w:kern w:val="2"/>
      <w:sz w:val="20"/>
      <w:szCs w:val="20"/>
      <w:lang w:eastAsia="zh-CN" w:bidi="hi-IN"/>
    </w:rPr>
  </w:style>
  <w:style w:type="character" w:customStyle="1" w:styleId="Domylnaczcionkaakapitu2">
    <w:name w:val="Domyślna czcionka akapitu2"/>
    <w:rsid w:val="006201B6"/>
  </w:style>
  <w:style w:type="paragraph" w:customStyle="1" w:styleId="Default">
    <w:name w:val="Default"/>
    <w:rsid w:val="0028471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10ED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10ED3"/>
  </w:style>
  <w:style w:type="character" w:customStyle="1" w:styleId="AkapitzlistZnak">
    <w:name w:val="Akapit z listą Znak"/>
    <w:link w:val="Akapitzlist"/>
    <w:uiPriority w:val="34"/>
    <w:locked/>
    <w:rsid w:val="004B6DA7"/>
    <w:rPr>
      <w:rFonts w:ascii="Calibri" w:eastAsia="Calibri" w:hAnsi="Calibri"/>
      <w:sz w:val="22"/>
      <w:szCs w:val="22"/>
      <w:lang w:eastAsia="en-US"/>
    </w:rPr>
  </w:style>
  <w:style w:type="character" w:customStyle="1" w:styleId="atta1listtitle">
    <w:name w:val="atta1_list_title"/>
    <w:basedOn w:val="Domylnaczcionkaakapitu"/>
    <w:rsid w:val="00D3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9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60185-B6AC-4EA1-A4D4-EF6EC2A0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1330</Words>
  <Characters>9892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4b DO WNIOSKU O DOFINANSOWANIE W RAMACH RPO</vt:lpstr>
    </vt:vector>
  </TitlesOfParts>
  <Company>bi</Company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4b DO WNIOSKU O DOFINANSOWANIE W RAMACH RPO</dc:title>
  <dc:subject/>
  <dc:creator>akanecka</dc:creator>
  <cp:keywords/>
  <cp:lastModifiedBy>Bilska, Ewelina</cp:lastModifiedBy>
  <cp:revision>5</cp:revision>
  <cp:lastPrinted>2016-08-11T08:18:00Z</cp:lastPrinted>
  <dcterms:created xsi:type="dcterms:W3CDTF">2025-02-19T13:39:00Z</dcterms:created>
  <dcterms:modified xsi:type="dcterms:W3CDTF">2025-06-24T09:51:00Z</dcterms:modified>
</cp:coreProperties>
</file>