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488A5" w14:textId="425167A1" w:rsidR="00A0435A" w:rsidRPr="00E35A61" w:rsidRDefault="00A0435A" w:rsidP="00915D15">
      <w:pPr>
        <w:rPr>
          <w:rFonts w:ascii="Calibri" w:hAnsi="Calibri" w:cs="Calibri"/>
          <w:b/>
          <w:i/>
          <w:iCs/>
          <w:sz w:val="22"/>
          <w:szCs w:val="22"/>
        </w:rPr>
      </w:pPr>
      <w:bookmarkStart w:id="0" w:name="_Ref199640118"/>
      <w:r w:rsidRPr="00E35A61">
        <w:rPr>
          <w:rFonts w:ascii="Calibri" w:hAnsi="Calibri" w:cs="Calibri"/>
          <w:b/>
          <w:i/>
          <w:iCs/>
          <w:sz w:val="22"/>
          <w:szCs w:val="22"/>
        </w:rPr>
        <w:t xml:space="preserve">Załącznik Nr </w:t>
      </w:r>
      <w:r w:rsidR="0063105E" w:rsidRPr="00E35A61">
        <w:rPr>
          <w:rFonts w:ascii="Calibri" w:hAnsi="Calibri" w:cs="Calibri"/>
          <w:b/>
          <w:i/>
          <w:iCs/>
          <w:sz w:val="22"/>
          <w:szCs w:val="22"/>
        </w:rPr>
        <w:t>7</w:t>
      </w:r>
      <w:r w:rsidR="00500B69" w:rsidRPr="00E35A61">
        <w:rPr>
          <w:rFonts w:ascii="Calibri" w:hAnsi="Calibri" w:cs="Calibri"/>
          <w:b/>
          <w:i/>
          <w:iCs/>
          <w:sz w:val="22"/>
          <w:szCs w:val="22"/>
        </w:rPr>
        <w:t xml:space="preserve"> do Regulaminu  wyboru projektów nr FESW.01.03-IZ.00-001/25</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55977469" w:rsidR="00030637" w:rsidRPr="006C3AD2" w:rsidRDefault="0080792C" w:rsidP="003F72CF">
      <w:pPr>
        <w:pStyle w:val="Tytu"/>
      </w:pPr>
      <w:r w:rsidRPr="006C3AD2">
        <w:t xml:space="preserve">Działania </w:t>
      </w:r>
      <w:r w:rsidR="00F23DFF">
        <w:t>1.3</w:t>
      </w:r>
      <w:r w:rsidR="0090376F" w:rsidRPr="006C3AD2">
        <w:t xml:space="preserve"> „</w:t>
      </w:r>
      <w:r w:rsidR="00F23DFF">
        <w:t>Budowanie potencjału IOB</w:t>
      </w:r>
      <w:r w:rsidR="00030637" w:rsidRPr="006C3AD2">
        <w:t>”</w:t>
      </w:r>
      <w:r w:rsidR="00030637" w:rsidRPr="006C3AD2">
        <w:rPr>
          <w:rStyle w:val="Odwoanieprzypisudolnego"/>
          <w:sz w:val="24"/>
          <w:szCs w:val="24"/>
        </w:rPr>
        <w:footnoteReference w:id="3"/>
      </w:r>
    </w:p>
    <w:p w14:paraId="1ADEA03D" w14:textId="1CB63482"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8B715A">
        <w:t>1</w:t>
      </w:r>
      <w:r w:rsidR="00F23C37" w:rsidRPr="006C3AD2">
        <w:t xml:space="preserve"> </w:t>
      </w:r>
      <w:r w:rsidR="005840F5" w:rsidRPr="006C3AD2">
        <w:t>„</w:t>
      </w:r>
      <w:r w:rsidR="008B715A">
        <w:t>Fundusze Europejskie dla konkurencyjnej gospodarki</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56732215" w:rsidR="0045011C" w:rsidRDefault="0045011C" w:rsidP="00326240">
      <w:pPr>
        <w:jc w:val="both"/>
        <w:rPr>
          <w:b/>
        </w:rPr>
      </w:pPr>
      <w:r>
        <w:rPr>
          <w:b/>
        </w:rPr>
        <w:br w:type="page"/>
      </w:r>
    </w:p>
    <w:p w14:paraId="02948669" w14:textId="776505CA" w:rsidR="003B6401" w:rsidRPr="006C3AD2" w:rsidRDefault="00DC237F" w:rsidP="007616E5">
      <w:pPr>
        <w:spacing w:after="120"/>
        <w:jc w:val="both"/>
        <w:rPr>
          <w:b/>
        </w:rPr>
      </w:pPr>
      <w:r w:rsidRPr="006C3AD2">
        <w:rPr>
          <w:b/>
        </w:rPr>
        <w:lastRenderedPageBreak/>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609558B9" w:rsidR="006555D9" w:rsidRPr="00F52303" w:rsidRDefault="00437C38"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F52303">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0D4CD1">
        <w:rPr>
          <w:rFonts w:eastAsia="Arial Unicode MS" w:cstheme="minorHAnsi"/>
          <w:color w:val="000000" w:themeColor="text1"/>
          <w:u w:color="000000"/>
          <w:bdr w:val="nil"/>
        </w:rPr>
        <w:t xml:space="preserve"> (Dz. Urz. UE L 2509 z 26.09.2424)</w:t>
      </w:r>
      <w:r w:rsidRPr="00F52303">
        <w:rPr>
          <w:rFonts w:eastAsia="Arial Unicode MS" w:cstheme="minorHAnsi"/>
          <w:color w:val="000000" w:themeColor="text1"/>
          <w:u w:color="000000"/>
          <w:bdr w:val="nil"/>
        </w:rPr>
        <w:t>, zwanego dalej „Rozporządzeniem 2024/2509</w:t>
      </w:r>
      <w:r w:rsidR="006555D9" w:rsidRPr="00F52303">
        <w:rPr>
          <w:rFonts w:eastAsia="Arial Unicode MS" w:cstheme="minorHAnsi"/>
          <w:color w:val="000000" w:themeColor="text1"/>
          <w:u w:color="000000"/>
          <w:bdr w:val="nil"/>
        </w:rPr>
        <w:t>”;</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03A91FD"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241786">
        <w:rPr>
          <w:color w:val="000000" w:themeColor="text1"/>
        </w:rPr>
        <w:t>4</w:t>
      </w:r>
      <w:r w:rsidRPr="006C3AD2">
        <w:rPr>
          <w:color w:val="000000" w:themeColor="text1"/>
        </w:rPr>
        <w:t xml:space="preserve"> r. poz.</w:t>
      </w:r>
      <w:r w:rsidR="00241786">
        <w:rPr>
          <w:color w:val="000000" w:themeColor="text1"/>
        </w:rPr>
        <w:t xml:space="preserve"> 1530</w:t>
      </w:r>
      <w:r w:rsidRPr="006C3AD2">
        <w:rPr>
          <w:color w:val="000000" w:themeColor="text1"/>
        </w:rPr>
        <w:t xml:space="preserve"> </w:t>
      </w:r>
      <w:r w:rsidR="00D17962">
        <w:rPr>
          <w:color w:val="000000" w:themeColor="text1"/>
        </w:rPr>
        <w:br/>
      </w:r>
      <w:r w:rsidRPr="006C3AD2">
        <w:rPr>
          <w:color w:val="000000" w:themeColor="text1"/>
        </w:rPr>
        <w:t xml:space="preserve">z późn. zm.), zwanej dalej „ufp”;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038CD75F" w:rsidR="00EF33BF" w:rsidRDefault="00EF33BF">
      <w:pPr>
        <w:rPr>
          <w:b/>
        </w:rPr>
      </w:pPr>
      <w:r>
        <w:rPr>
          <w:b/>
        </w:rPr>
        <w:br w:type="page"/>
      </w:r>
    </w:p>
    <w:p w14:paraId="65355722" w14:textId="2CC5C477"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3167A08"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EF33BF" w:rsidRPr="0025571D">
        <w:rPr>
          <w:rFonts w:eastAsia="Arial Unicode MS" w:cstheme="minorHAnsi"/>
          <w:color w:val="000000" w:themeColor="text1"/>
          <w:u w:color="000000"/>
          <w:bdr w:val="nil"/>
        </w:rPr>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 xml:space="preserve">„SzOP”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745D8F2E"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w:t>
      </w:r>
      <w:r w:rsidRPr="006C3AD2">
        <w:rPr>
          <w:rFonts w:eastAsia="Arial Unicode MS" w:cstheme="minorHAnsi"/>
          <w:color w:val="000000" w:themeColor="text1"/>
          <w:u w:color="000000"/>
          <w:bdr w:val="nil"/>
        </w:rPr>
        <w:t>Aplikacja Wnioski o dofinansowanie, służy do aplikowania 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6160C93F" w:rsidR="00D572CB" w:rsidRPr="006C3AD2" w:rsidRDefault="00DC237F" w:rsidP="003E7074">
      <w:pPr>
        <w:numPr>
          <w:ilvl w:val="0"/>
          <w:numId w:val="1"/>
        </w:numPr>
        <w:tabs>
          <w:tab w:val="left" w:pos="284"/>
          <w:tab w:val="left" w:pos="360"/>
        </w:tabs>
        <w:ind w:left="340" w:hanging="340"/>
        <w:jc w:val="both"/>
      </w:pPr>
      <w:r w:rsidRPr="006C3AD2">
        <w:t>„Zleceniu płatności” – należy przez to rozumieć</w:t>
      </w:r>
      <w:r w:rsidR="00C12A3E">
        <w:t xml:space="preserve"> </w:t>
      </w:r>
      <w:r w:rsidR="00685FA1">
        <w:rPr>
          <w:iCs/>
        </w:rPr>
        <w:t>s</w:t>
      </w:r>
      <w:r w:rsidRPr="006C3AD2">
        <w:rPr>
          <w:iCs/>
        </w:rPr>
        <w:t xml:space="preserve">tandardowy formularz wraz </w:t>
      </w:r>
      <w:r w:rsidR="00685FA1">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EE0F94">
      <w:pPr>
        <w:numPr>
          <w:ilvl w:val="0"/>
          <w:numId w:val="64"/>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EE0F94">
      <w:pPr>
        <w:numPr>
          <w:ilvl w:val="0"/>
          <w:numId w:val="64"/>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EE0F94">
      <w:pPr>
        <w:numPr>
          <w:ilvl w:val="0"/>
          <w:numId w:val="64"/>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BCFFF62" w:rsidR="009350D4" w:rsidRPr="006C3AD2" w:rsidRDefault="009350D4" w:rsidP="007B54CA">
      <w:pPr>
        <w:pStyle w:val="Tekstpodstawowy"/>
      </w:pP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EE0F94">
      <w:pPr>
        <w:pStyle w:val="Tekstpodstawowy"/>
        <w:numPr>
          <w:ilvl w:val="1"/>
          <w:numId w:val="65"/>
        </w:numPr>
        <w:ind w:left="709"/>
      </w:pPr>
      <w:r w:rsidRPr="006C3AD2">
        <w:t>pisemnej informacji o złożeniu do Sądu wniosków o ogłoszenie upadłości przez Partnera lub przez jego wierzycieli;</w:t>
      </w:r>
    </w:p>
    <w:p w14:paraId="73F8E0FC" w14:textId="77777777" w:rsidR="004537AE" w:rsidRPr="006C3AD2" w:rsidRDefault="00DC237F" w:rsidP="00EE0F94">
      <w:pPr>
        <w:pStyle w:val="Tekstpodstawowy"/>
        <w:numPr>
          <w:ilvl w:val="1"/>
          <w:numId w:val="65"/>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EE0F94">
      <w:pPr>
        <w:pStyle w:val="Tekstpodstawowy"/>
        <w:numPr>
          <w:ilvl w:val="1"/>
          <w:numId w:val="65"/>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 xml:space="preserve">za pośrednictwem systemu CST2021 przed złożeniem pierwszego wniosku o płatność, w którym Beneficjent </w:t>
      </w:r>
      <w:r w:rsidR="00C37194" w:rsidRPr="006C3AD2">
        <w:lastRenderedPageBreak/>
        <w:t>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7"/>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 Sz</w:t>
      </w:r>
      <w:r w:rsidRPr="006C3AD2">
        <w:rPr>
          <w:rFonts w:eastAsia="Tahoma"/>
          <w:color w:val="000000" w:themeColor="text1"/>
          <w:spacing w:val="1"/>
        </w:rPr>
        <w:t>O</w:t>
      </w:r>
      <w:r w:rsidRPr="006C3AD2">
        <w:rPr>
          <w:rFonts w:eastAsia="Tahoma"/>
          <w:color w:val="000000" w:themeColor="text1"/>
        </w:rPr>
        <w:t>P</w:t>
      </w:r>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23A1D3CD"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EF33BF" w:rsidRPr="0025571D">
        <w:rPr>
          <w:rFonts w:eastAsia="Arial Unicode MS" w:cstheme="minorHAnsi"/>
          <w:color w:val="000000" w:themeColor="text1"/>
          <w:u w:color="000000"/>
          <w:bdr w:val="nil"/>
        </w:rPr>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290B3093"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EF33BF" w:rsidRPr="0025571D">
        <w:rPr>
          <w:rFonts w:eastAsia="Arial Unicode MS" w:cstheme="minorHAnsi"/>
          <w:color w:val="000000" w:themeColor="text1"/>
          <w:u w:color="000000"/>
          <w:bdr w:val="ni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8"/>
      </w:r>
      <w:r w:rsidR="00161D46" w:rsidRPr="006C3AD2">
        <w:t xml:space="preserve"> </w:t>
      </w:r>
    </w:p>
    <w:p w14:paraId="0E7B2239" w14:textId="77777777" w:rsidR="00055325" w:rsidRPr="00C829F5" w:rsidRDefault="00161D46" w:rsidP="003E7074">
      <w:pPr>
        <w:pStyle w:val="Tekstpodstawowy"/>
        <w:numPr>
          <w:ilvl w:val="3"/>
          <w:numId w:val="35"/>
        </w:numPr>
        <w:spacing w:before="240"/>
        <w:ind w:left="357" w:hanging="357"/>
        <w:rPr>
          <w:strike/>
        </w:rPr>
      </w:pPr>
      <w:r w:rsidRPr="00C829F5">
        <w:rPr>
          <w:strike/>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w:t>
      </w:r>
      <w:r w:rsidRPr="00C829F5">
        <w:rPr>
          <w:strike/>
        </w:rPr>
        <w:lastRenderedPageBreak/>
        <w:t xml:space="preserve">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C829F5" w:rsidRDefault="00161D46" w:rsidP="003E7074">
      <w:pPr>
        <w:pStyle w:val="Tekstpodstawowy"/>
        <w:numPr>
          <w:ilvl w:val="3"/>
          <w:numId w:val="35"/>
        </w:numPr>
        <w:ind w:left="357" w:hanging="357"/>
        <w:rPr>
          <w:strike/>
        </w:rPr>
      </w:pPr>
      <w:r w:rsidRPr="00C829F5">
        <w:rPr>
          <w:strike/>
        </w:rPr>
        <w:t>W zakresie zachowania obowiązków wynikających z Umowy, Beneficjent ponosi odpowiedzialność za działania i zaniechania podmiotu upoważnionego na podstawie ust.</w:t>
      </w:r>
      <w:r w:rsidRPr="00C829F5">
        <w:rPr>
          <w:strike/>
          <w:lang w:val="pl-PL"/>
        </w:rPr>
        <w:t xml:space="preserve"> </w:t>
      </w:r>
      <w:r w:rsidR="00B31AD8" w:rsidRPr="00C829F5">
        <w:rPr>
          <w:strike/>
          <w:lang w:val="pl-PL"/>
        </w:rPr>
        <w:t xml:space="preserve">1 </w:t>
      </w:r>
      <w:r w:rsidRPr="00C829F5">
        <w:rPr>
          <w:strike/>
          <w:lang w:val="pl-PL"/>
        </w:rPr>
        <w:t>jak za własne działanie.</w:t>
      </w:r>
    </w:p>
    <w:p w14:paraId="024696EE" w14:textId="77777777" w:rsidR="00055325" w:rsidRPr="00C829F5" w:rsidRDefault="00161D46" w:rsidP="003E7074">
      <w:pPr>
        <w:pStyle w:val="Tekstpodstawowy"/>
        <w:numPr>
          <w:ilvl w:val="3"/>
          <w:numId w:val="35"/>
        </w:numPr>
        <w:ind w:left="357" w:hanging="357"/>
        <w:rPr>
          <w:strike/>
        </w:rPr>
      </w:pPr>
      <w:r w:rsidRPr="00C829F5">
        <w:rPr>
          <w:strike/>
        </w:rPr>
        <w:t>Beneficjent ponosi wyłączną odpowiedzialność wobec osób trzecich za szkody powstałe w związku z realizacją Projektu.</w:t>
      </w:r>
    </w:p>
    <w:p w14:paraId="30B86476" w14:textId="77777777" w:rsidR="00055325" w:rsidRPr="00C829F5" w:rsidRDefault="00161D46" w:rsidP="003E7074">
      <w:pPr>
        <w:pStyle w:val="Tekstpodstawowy"/>
        <w:numPr>
          <w:ilvl w:val="3"/>
          <w:numId w:val="35"/>
        </w:numPr>
        <w:ind w:left="357" w:hanging="357"/>
        <w:rPr>
          <w:strike/>
        </w:rPr>
      </w:pPr>
      <w:r w:rsidRPr="00C829F5">
        <w:rPr>
          <w:strike/>
        </w:rPr>
        <w:t>W przypadku realizowania Projektu w formie partnerstwa, umowa</w:t>
      </w:r>
      <w:r w:rsidRPr="00C829F5">
        <w:rPr>
          <w:strike/>
          <w:lang w:val="pl-PL"/>
        </w:rPr>
        <w:t>/porozumienie o </w:t>
      </w:r>
      <w:r w:rsidRPr="00C829F5">
        <w:rPr>
          <w:strike/>
        </w:rPr>
        <w:t>partnerstw</w:t>
      </w:r>
      <w:r w:rsidRPr="00C829F5">
        <w:rPr>
          <w:strike/>
          <w:lang w:val="pl-PL"/>
        </w:rPr>
        <w:t>ie</w:t>
      </w:r>
      <w:r w:rsidRPr="00C829F5">
        <w:rPr>
          <w:strike/>
        </w:rPr>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C829F5" w:rsidRDefault="00161D46" w:rsidP="003E7074">
      <w:pPr>
        <w:pStyle w:val="Tekstpodstawowy"/>
        <w:numPr>
          <w:ilvl w:val="3"/>
          <w:numId w:val="35"/>
        </w:numPr>
        <w:ind w:left="357" w:hanging="357"/>
        <w:rPr>
          <w:strike/>
        </w:rPr>
      </w:pPr>
      <w:r w:rsidRPr="00C829F5">
        <w:rPr>
          <w:strike/>
        </w:rPr>
        <w:t>Beneficjent oświadcza i zapewnia, że Partnerzy nie podlega/ją wykluczeniu, o którym mowa w art. 207 ust. 4 ufp.</w:t>
      </w:r>
    </w:p>
    <w:p w14:paraId="44C2CC2C" w14:textId="166EFF16" w:rsidR="00B85005" w:rsidRPr="006C3AD2" w:rsidRDefault="00B85005" w:rsidP="003E7074">
      <w:pPr>
        <w:pStyle w:val="Tekstpodstawowy"/>
        <w:numPr>
          <w:ilvl w:val="3"/>
          <w:numId w:val="35"/>
        </w:numPr>
        <w:ind w:left="357" w:hanging="357"/>
      </w:pPr>
      <w:r w:rsidRPr="00C829F5">
        <w:rPr>
          <w:strike/>
        </w:rPr>
        <w:t xml:space="preserve">Jeżeli Projekt realizowany jest w partnerstwie, obowiązki Beneficjenta określone </w:t>
      </w:r>
      <w:r w:rsidR="00913270" w:rsidRPr="00C829F5">
        <w:rPr>
          <w:strike/>
        </w:rPr>
        <w:br/>
      </w:r>
      <w:r w:rsidRPr="00C829F5">
        <w:rPr>
          <w:strike/>
        </w:rPr>
        <w:t xml:space="preserve">w Umowie mają odpowiednie zastosowanie do </w:t>
      </w:r>
      <w:r w:rsidR="005E659D" w:rsidRPr="00C829F5">
        <w:rPr>
          <w:strike/>
        </w:rPr>
        <w:t>P</w:t>
      </w:r>
      <w:r w:rsidRPr="00C829F5">
        <w:rPr>
          <w:strike/>
        </w:rPr>
        <w:t xml:space="preserve">artnerów Projektu. Obowiązek przestrzegania postanowień Umowy spoczywa wówczas na Beneficjencie oraz partnerach Projektu. Beneficjent zobowiązuje się przekazać każdemu z </w:t>
      </w:r>
      <w:r w:rsidR="005E659D" w:rsidRPr="00C829F5">
        <w:rPr>
          <w:strike/>
        </w:rPr>
        <w:t>P</w:t>
      </w:r>
      <w:r w:rsidRPr="00C829F5">
        <w:rPr>
          <w:strike/>
        </w:rPr>
        <w:t>artnerów Projektu kopię Umowy</w:t>
      </w:r>
      <w:r w:rsidRPr="006C3AD2">
        <w:t>.</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19"/>
      </w:r>
    </w:p>
    <w:p w14:paraId="40434604" w14:textId="6A5419AC" w:rsidR="0039186E" w:rsidRPr="00C829F5" w:rsidRDefault="0039186E" w:rsidP="00EE0F94">
      <w:pPr>
        <w:numPr>
          <w:ilvl w:val="0"/>
          <w:numId w:val="71"/>
        </w:numPr>
        <w:spacing w:before="240"/>
        <w:ind w:left="357" w:hanging="357"/>
        <w:jc w:val="both"/>
        <w:rPr>
          <w:rFonts w:cstheme="minorHAnsi"/>
          <w:strike/>
        </w:rPr>
      </w:pPr>
      <w:r w:rsidRPr="00C829F5">
        <w:rPr>
          <w:rFonts w:cstheme="minorHAnsi"/>
          <w:strike/>
        </w:rPr>
        <w:t>Umowa o PPP spełnia/będzie spełniać</w:t>
      </w:r>
      <w:r w:rsidRPr="00C829F5">
        <w:rPr>
          <w:rFonts w:cstheme="minorHAnsi"/>
          <w:strike/>
          <w:vertAlign w:val="superscript"/>
        </w:rPr>
        <w:footnoteReference w:id="20"/>
      </w:r>
      <w:r w:rsidR="009C1E31" w:rsidRPr="00C829F5">
        <w:rPr>
          <w:rFonts w:cstheme="minorHAnsi"/>
          <w:strike/>
        </w:rPr>
        <w:t xml:space="preserve"> </w:t>
      </w:r>
      <w:r w:rsidRPr="00C829F5">
        <w:rPr>
          <w:rFonts w:cstheme="minorHAnsi"/>
          <w:strike/>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C829F5" w:rsidRDefault="0039186E" w:rsidP="00EE0F94">
      <w:pPr>
        <w:numPr>
          <w:ilvl w:val="0"/>
          <w:numId w:val="71"/>
        </w:numPr>
        <w:jc w:val="both"/>
        <w:rPr>
          <w:rFonts w:cstheme="minorHAnsi"/>
          <w:strike/>
        </w:rPr>
      </w:pPr>
      <w:r w:rsidRPr="00C829F5">
        <w:rPr>
          <w:rFonts w:cstheme="minorHAnsi"/>
          <w:strike/>
        </w:rPr>
        <w:t xml:space="preserve">Zmiana postanowień umowy o PPP, o których mowa w </w:t>
      </w:r>
      <w:r w:rsidR="00976C26" w:rsidRPr="00C829F5">
        <w:rPr>
          <w:rFonts w:cstheme="minorHAnsi"/>
          <w:strike/>
        </w:rPr>
        <w:t>ust.</w:t>
      </w:r>
      <w:r w:rsidRPr="00C829F5">
        <w:rPr>
          <w:rFonts w:cstheme="minorHAnsi"/>
          <w:strike/>
        </w:rPr>
        <w:t xml:space="preserve"> 1 wymaga uprzedniej zgody IZ. W przypadku braku zgłoszenia zmian umowy o PPP, IZ może rozwiązać umowę o dofinansowanie.</w:t>
      </w:r>
    </w:p>
    <w:p w14:paraId="45DD9F51" w14:textId="77777777" w:rsidR="0039186E" w:rsidRPr="006C3AD2" w:rsidRDefault="0039186E" w:rsidP="00EE0F94">
      <w:pPr>
        <w:numPr>
          <w:ilvl w:val="0"/>
          <w:numId w:val="71"/>
        </w:numPr>
        <w:jc w:val="both"/>
        <w:rPr>
          <w:rFonts w:cstheme="minorHAnsi"/>
        </w:rPr>
      </w:pPr>
      <w:r w:rsidRPr="00C829F5">
        <w:rPr>
          <w:rFonts w:cstheme="minorHAnsi"/>
          <w:strike/>
        </w:rPr>
        <w:t>Środki dofinansowania będą przekazywane na rachunek powierniczy projektu hybrydowego, o którym mowa w § 8. Środki z rachunku powierniczego będą przekazywane w trybie i terminach określonych w umowie o PPP</w:t>
      </w:r>
      <w:r w:rsidRPr="006C3AD2">
        <w:rPr>
          <w:rFonts w:cstheme="minorHAnsi"/>
        </w:rPr>
        <w:t>.</w:t>
      </w:r>
    </w:p>
    <w:p w14:paraId="6235C429" w14:textId="77777777" w:rsidR="0039186E" w:rsidRPr="00C829F5" w:rsidRDefault="0039186E" w:rsidP="00EE0F94">
      <w:pPr>
        <w:numPr>
          <w:ilvl w:val="0"/>
          <w:numId w:val="71"/>
        </w:numPr>
        <w:contextualSpacing/>
        <w:jc w:val="both"/>
        <w:rPr>
          <w:rFonts w:cstheme="minorHAnsi"/>
          <w:strike/>
        </w:rPr>
      </w:pPr>
      <w:r w:rsidRPr="00C829F5">
        <w:rPr>
          <w:rFonts w:cstheme="minorHAnsi"/>
          <w:strike/>
        </w:rPr>
        <w:t>Podmiotem upoważnionym do ponoszenia wydatków jest  ……………………………</w:t>
      </w:r>
      <w:r w:rsidRPr="00C829F5">
        <w:rPr>
          <w:strike/>
          <w:vertAlign w:val="superscript"/>
        </w:rPr>
        <w:footnoteReference w:id="21"/>
      </w:r>
    </w:p>
    <w:p w14:paraId="43B33BA6" w14:textId="13AA5469" w:rsidR="0039186E" w:rsidRPr="00C829F5" w:rsidRDefault="0039186E" w:rsidP="00EE0F94">
      <w:pPr>
        <w:numPr>
          <w:ilvl w:val="0"/>
          <w:numId w:val="71"/>
        </w:numPr>
        <w:contextualSpacing/>
        <w:jc w:val="both"/>
        <w:rPr>
          <w:rFonts w:cstheme="minorHAnsi"/>
          <w:strike/>
        </w:rPr>
      </w:pPr>
      <w:r w:rsidRPr="00C829F5">
        <w:rPr>
          <w:rFonts w:cstheme="minorHAnsi"/>
          <w:strike/>
        </w:rPr>
        <w:t xml:space="preserve">Partner prywatny </w:t>
      </w:r>
      <w:r w:rsidR="00EC327C" w:rsidRPr="00C829F5">
        <w:rPr>
          <w:rFonts w:cstheme="minorHAnsi"/>
          <w:strike/>
        </w:rPr>
        <w:t>P</w:t>
      </w:r>
      <w:r w:rsidRPr="00C829F5">
        <w:rPr>
          <w:rFonts w:cstheme="minorHAnsi"/>
          <w:strike/>
        </w:rPr>
        <w:t xml:space="preserve">rojektu, który docelowo ma pełnić rolę </w:t>
      </w:r>
      <w:r w:rsidR="00EC1B72" w:rsidRPr="00C829F5">
        <w:rPr>
          <w:rFonts w:cstheme="minorHAnsi"/>
          <w:strike/>
        </w:rPr>
        <w:t>B</w:t>
      </w:r>
      <w:r w:rsidRPr="00C829F5">
        <w:rPr>
          <w:rFonts w:cstheme="minorHAnsi"/>
          <w:strike/>
        </w:rPr>
        <w:t xml:space="preserve">eneficjenta zostanie wybrany niezwłocznie w terminie umożliwiającym sprawną realizację </w:t>
      </w:r>
      <w:r w:rsidR="00EC327C" w:rsidRPr="00C829F5">
        <w:rPr>
          <w:rFonts w:cstheme="minorHAnsi"/>
          <w:strike/>
        </w:rPr>
        <w:t>P</w:t>
      </w:r>
      <w:r w:rsidRPr="00C829F5">
        <w:rPr>
          <w:rFonts w:cstheme="minorHAnsi"/>
          <w:strike/>
        </w:rPr>
        <w:t xml:space="preserve">rojektu. O wyborze partnera prywatnego, </w:t>
      </w:r>
      <w:r w:rsidR="00EC1B72" w:rsidRPr="00C829F5">
        <w:rPr>
          <w:rFonts w:cstheme="minorHAnsi"/>
          <w:strike/>
        </w:rPr>
        <w:t>B</w:t>
      </w:r>
      <w:r w:rsidRPr="00C829F5">
        <w:rPr>
          <w:rFonts w:cstheme="minorHAnsi"/>
          <w:strike/>
        </w:rPr>
        <w:t xml:space="preserve">eneficjent poinformuje IZ w terminie 5 dni. IZ przeprowadzi weryfikację pod kątem możliwości pełnienia roli </w:t>
      </w:r>
      <w:r w:rsidR="00EC1B72" w:rsidRPr="00C829F5">
        <w:rPr>
          <w:rFonts w:cstheme="minorHAnsi"/>
          <w:strike/>
        </w:rPr>
        <w:t>B</w:t>
      </w:r>
      <w:r w:rsidRPr="00C829F5">
        <w:rPr>
          <w:rFonts w:cstheme="minorHAnsi"/>
          <w:strike/>
        </w:rPr>
        <w:t xml:space="preserve">eneficjenta przez partnera prywatnego. Jeżeli weryfikacja potwierdzi możliwość pełnienia roli </w:t>
      </w:r>
      <w:r w:rsidR="009A3FD0" w:rsidRPr="00C829F5">
        <w:rPr>
          <w:rFonts w:cstheme="minorHAnsi"/>
          <w:strike/>
        </w:rPr>
        <w:t>B</w:t>
      </w:r>
      <w:r w:rsidRPr="00C829F5">
        <w:rPr>
          <w:rFonts w:cstheme="minorHAnsi"/>
          <w:strike/>
        </w:rPr>
        <w:t xml:space="preserve">eneficjenta przez partnera prywatnego niniejsza </w:t>
      </w:r>
      <w:r w:rsidR="00FA22FB" w:rsidRPr="00C829F5">
        <w:rPr>
          <w:rFonts w:cstheme="minorHAnsi"/>
          <w:strike/>
        </w:rPr>
        <w:t>U</w:t>
      </w:r>
      <w:r w:rsidRPr="00C829F5">
        <w:rPr>
          <w:rFonts w:cstheme="minorHAnsi"/>
          <w:strike/>
        </w:rPr>
        <w:t xml:space="preserve">mowa zostanie aneksowana – partner prywatny zostanie wskazany jako </w:t>
      </w:r>
      <w:r w:rsidR="009A3FD0" w:rsidRPr="00C829F5">
        <w:rPr>
          <w:rFonts w:cstheme="minorHAnsi"/>
          <w:strike/>
        </w:rPr>
        <w:t>B</w:t>
      </w:r>
      <w:r w:rsidRPr="00C829F5">
        <w:rPr>
          <w:rFonts w:cstheme="minorHAnsi"/>
          <w:strike/>
        </w:rPr>
        <w:t>eneficjent.</w:t>
      </w:r>
      <w:r w:rsidRPr="00C829F5">
        <w:rPr>
          <w:strike/>
          <w:vertAlign w:val="superscript"/>
        </w:rPr>
        <w:footnoteReference w:id="22"/>
      </w:r>
    </w:p>
    <w:p w14:paraId="4E043894" w14:textId="77777777" w:rsidR="0039186E" w:rsidRPr="00C829F5" w:rsidRDefault="0039186E" w:rsidP="00EE0F94">
      <w:pPr>
        <w:numPr>
          <w:ilvl w:val="0"/>
          <w:numId w:val="71"/>
        </w:numPr>
        <w:jc w:val="both"/>
        <w:rPr>
          <w:rFonts w:cstheme="minorHAnsi"/>
          <w:strike/>
        </w:rPr>
      </w:pPr>
      <w:r w:rsidRPr="00C829F5">
        <w:rPr>
          <w:rFonts w:cstheme="minorHAnsi"/>
          <w:strike/>
        </w:rPr>
        <w:t>W przypadku zaistnienia jednej z niżej wymienionych okoliczności:</w:t>
      </w:r>
    </w:p>
    <w:p w14:paraId="12FB677A" w14:textId="09067432" w:rsidR="0039186E" w:rsidRPr="00C829F5" w:rsidRDefault="0039186E" w:rsidP="00EE0F94">
      <w:pPr>
        <w:numPr>
          <w:ilvl w:val="1"/>
          <w:numId w:val="73"/>
        </w:numPr>
        <w:jc w:val="both"/>
        <w:rPr>
          <w:rFonts w:cstheme="minorHAnsi"/>
          <w:strike/>
        </w:rPr>
      </w:pPr>
      <w:r w:rsidRPr="00C829F5">
        <w:rPr>
          <w:rFonts w:cstheme="minorHAnsi"/>
          <w:strike/>
        </w:rPr>
        <w:t>weryfikacja, o której mowa w ust</w:t>
      </w:r>
      <w:r w:rsidR="007134AF" w:rsidRPr="00C829F5">
        <w:rPr>
          <w:rFonts w:cstheme="minorHAnsi"/>
          <w:strike/>
        </w:rPr>
        <w:t>.</w:t>
      </w:r>
      <w:r w:rsidRPr="00C829F5">
        <w:rPr>
          <w:rFonts w:cstheme="minorHAnsi"/>
          <w:strike/>
        </w:rPr>
        <w:t xml:space="preserve"> 5 wykaże, że partner prywatny, nie może pełnić roli </w:t>
      </w:r>
      <w:r w:rsidR="00EC1B72" w:rsidRPr="00C829F5">
        <w:rPr>
          <w:rFonts w:cstheme="minorHAnsi"/>
          <w:strike/>
        </w:rPr>
        <w:t>B</w:t>
      </w:r>
      <w:r w:rsidRPr="00C829F5">
        <w:rPr>
          <w:rFonts w:cstheme="minorHAnsi"/>
          <w:strike/>
        </w:rPr>
        <w:t>eneficjenta albo</w:t>
      </w:r>
    </w:p>
    <w:p w14:paraId="51BD6167" w14:textId="58F4698A" w:rsidR="0039186E" w:rsidRPr="00C829F5" w:rsidRDefault="00EC1B72" w:rsidP="00EE0F94">
      <w:pPr>
        <w:numPr>
          <w:ilvl w:val="1"/>
          <w:numId w:val="73"/>
        </w:numPr>
        <w:jc w:val="both"/>
        <w:rPr>
          <w:rFonts w:cstheme="minorHAnsi"/>
          <w:strike/>
        </w:rPr>
      </w:pPr>
      <w:r w:rsidRPr="00C829F5">
        <w:rPr>
          <w:rFonts w:cstheme="minorHAnsi"/>
          <w:strike/>
        </w:rPr>
        <w:t>B</w:t>
      </w:r>
      <w:r w:rsidR="0039186E" w:rsidRPr="00C829F5">
        <w:rPr>
          <w:rFonts w:cstheme="minorHAnsi"/>
          <w:strike/>
        </w:rPr>
        <w:t>eneficjent poinformuje IZ o tym, że nie udało mu się skutecznie wybrać partnera prywatnego albo</w:t>
      </w:r>
    </w:p>
    <w:p w14:paraId="02D516EC" w14:textId="5139CAFD" w:rsidR="0039186E" w:rsidRPr="00C829F5" w:rsidRDefault="0039186E" w:rsidP="00EE0F94">
      <w:pPr>
        <w:numPr>
          <w:ilvl w:val="1"/>
          <w:numId w:val="73"/>
        </w:numPr>
        <w:jc w:val="both"/>
        <w:rPr>
          <w:rFonts w:cstheme="minorHAnsi"/>
          <w:strike/>
        </w:rPr>
      </w:pPr>
      <w:r w:rsidRPr="00C829F5">
        <w:rPr>
          <w:rFonts w:cstheme="minorHAnsi"/>
          <w:strike/>
        </w:rPr>
        <w:lastRenderedPageBreak/>
        <w:t xml:space="preserve">odstąpienia partnera prywatnego będącego </w:t>
      </w:r>
      <w:r w:rsidR="009A3FD0" w:rsidRPr="00C829F5">
        <w:rPr>
          <w:rFonts w:cstheme="minorHAnsi"/>
          <w:strike/>
        </w:rPr>
        <w:t>B</w:t>
      </w:r>
      <w:r w:rsidRPr="00C829F5">
        <w:rPr>
          <w:rFonts w:cstheme="minorHAnsi"/>
          <w:strike/>
        </w:rPr>
        <w:t xml:space="preserve">eneficjentem </w:t>
      </w:r>
      <w:r w:rsidR="00EC327C" w:rsidRPr="00C829F5">
        <w:rPr>
          <w:rFonts w:cstheme="minorHAnsi"/>
          <w:strike/>
        </w:rPr>
        <w:t>P</w:t>
      </w:r>
      <w:r w:rsidRPr="00C829F5">
        <w:rPr>
          <w:rFonts w:cstheme="minorHAnsi"/>
          <w:strike/>
        </w:rPr>
        <w:t>rojektu od umowy</w:t>
      </w:r>
      <w:r w:rsidR="002459E2" w:rsidRPr="00C829F5">
        <w:rPr>
          <w:rFonts w:cstheme="minorHAnsi"/>
          <w:strike/>
        </w:rPr>
        <w:t xml:space="preserve"> </w:t>
      </w:r>
      <w:r w:rsidRPr="00C829F5">
        <w:rPr>
          <w:rFonts w:cstheme="minorHAnsi"/>
          <w:strike/>
        </w:rPr>
        <w:t>możliwe jest zastosowanie jednego z rozwiązań wskazanych w ust</w:t>
      </w:r>
      <w:r w:rsidR="007134AF" w:rsidRPr="00C829F5">
        <w:rPr>
          <w:rFonts w:cstheme="minorHAnsi"/>
          <w:strike/>
        </w:rPr>
        <w:t>.</w:t>
      </w:r>
      <w:r w:rsidRPr="00C829F5">
        <w:rPr>
          <w:rFonts w:cstheme="minorHAnsi"/>
          <w:strike/>
        </w:rPr>
        <w:t xml:space="preserve"> 7.</w:t>
      </w:r>
      <w:r w:rsidRPr="00C829F5">
        <w:rPr>
          <w:strike/>
          <w:vertAlign w:val="superscript"/>
        </w:rPr>
        <w:footnoteReference w:id="23"/>
      </w:r>
    </w:p>
    <w:p w14:paraId="43DD0EFC" w14:textId="38E6D390" w:rsidR="0039186E" w:rsidRPr="00C829F5" w:rsidRDefault="0039186E" w:rsidP="00EE0F94">
      <w:pPr>
        <w:numPr>
          <w:ilvl w:val="0"/>
          <w:numId w:val="71"/>
        </w:numPr>
        <w:jc w:val="both"/>
        <w:rPr>
          <w:rFonts w:cstheme="minorHAnsi"/>
          <w:strike/>
        </w:rPr>
      </w:pPr>
      <w:r w:rsidRPr="00C829F5">
        <w:rPr>
          <w:rFonts w:cstheme="minorHAnsi"/>
          <w:strike/>
        </w:rPr>
        <w:t>W przypadku opisanym w ust</w:t>
      </w:r>
      <w:r w:rsidR="007134AF" w:rsidRPr="00C829F5">
        <w:rPr>
          <w:rFonts w:cstheme="minorHAnsi"/>
          <w:strike/>
        </w:rPr>
        <w:t>.</w:t>
      </w:r>
      <w:r w:rsidRPr="00C829F5">
        <w:rPr>
          <w:rFonts w:cstheme="minorHAnsi"/>
          <w:strike/>
        </w:rPr>
        <w:t xml:space="preserve"> 6, strony niniejszej </w:t>
      </w:r>
      <w:r w:rsidR="00FA22FB" w:rsidRPr="00C829F5">
        <w:rPr>
          <w:rFonts w:cstheme="minorHAnsi"/>
          <w:strike/>
        </w:rPr>
        <w:t>U</w:t>
      </w:r>
      <w:r w:rsidRPr="00C829F5">
        <w:rPr>
          <w:rFonts w:cstheme="minorHAnsi"/>
          <w:strike/>
        </w:rPr>
        <w:t>mowy mogą podjąć decyzję o:</w:t>
      </w:r>
    </w:p>
    <w:p w14:paraId="1294BCAF" w14:textId="11A494D2" w:rsidR="0039186E" w:rsidRPr="00C829F5" w:rsidRDefault="0039186E" w:rsidP="00EE0F94">
      <w:pPr>
        <w:numPr>
          <w:ilvl w:val="1"/>
          <w:numId w:val="72"/>
        </w:numPr>
        <w:jc w:val="both"/>
        <w:rPr>
          <w:rFonts w:cstheme="minorHAnsi"/>
          <w:strike/>
        </w:rPr>
      </w:pPr>
      <w:r w:rsidRPr="00C829F5">
        <w:rPr>
          <w:rFonts w:cstheme="minorHAnsi"/>
          <w:strike/>
        </w:rPr>
        <w:t xml:space="preserve">realizacji </w:t>
      </w:r>
      <w:r w:rsidR="00EC327C" w:rsidRPr="00C829F5">
        <w:rPr>
          <w:rFonts w:cstheme="minorHAnsi"/>
          <w:strike/>
        </w:rPr>
        <w:t>P</w:t>
      </w:r>
      <w:r w:rsidRPr="00C829F5">
        <w:rPr>
          <w:rFonts w:cstheme="minorHAnsi"/>
          <w:strike/>
        </w:rPr>
        <w:t xml:space="preserve">rojektu w formule tradycyjnej – nie jako projektu hybrydowego, bez zmiany </w:t>
      </w:r>
      <w:r w:rsidR="00EC1B72" w:rsidRPr="00C829F5">
        <w:rPr>
          <w:rFonts w:cstheme="minorHAnsi"/>
          <w:strike/>
        </w:rPr>
        <w:t>B</w:t>
      </w:r>
      <w:r w:rsidRPr="00C829F5">
        <w:rPr>
          <w:rFonts w:cstheme="minorHAnsi"/>
          <w:strike/>
        </w:rPr>
        <w:t xml:space="preserve">eneficjenta </w:t>
      </w:r>
      <w:r w:rsidR="00EC327C" w:rsidRPr="00C829F5">
        <w:rPr>
          <w:rFonts w:cstheme="minorHAnsi"/>
          <w:strike/>
        </w:rPr>
        <w:t>P</w:t>
      </w:r>
      <w:r w:rsidRPr="00C829F5">
        <w:rPr>
          <w:rFonts w:cstheme="minorHAnsi"/>
          <w:strike/>
        </w:rPr>
        <w:t>rojektu, o ile jest to dopuszczalne zgodnie z zapisami Regulaminu wyboru projektów albo</w:t>
      </w:r>
    </w:p>
    <w:p w14:paraId="6F17359A" w14:textId="11560EED" w:rsidR="0039186E" w:rsidRPr="00C829F5" w:rsidRDefault="0039186E" w:rsidP="00EE0F94">
      <w:pPr>
        <w:numPr>
          <w:ilvl w:val="1"/>
          <w:numId w:val="72"/>
        </w:numPr>
        <w:jc w:val="both"/>
        <w:rPr>
          <w:rFonts w:cstheme="minorHAnsi"/>
          <w:strike/>
        </w:rPr>
      </w:pPr>
      <w:r w:rsidRPr="00C829F5">
        <w:rPr>
          <w:rFonts w:cstheme="minorHAnsi"/>
          <w:strike/>
        </w:rPr>
        <w:t>ponownym wyborze partnera prywatnego, wskazanego w ust</w:t>
      </w:r>
      <w:r w:rsidR="007134AF" w:rsidRPr="00C829F5">
        <w:rPr>
          <w:rFonts w:cstheme="minorHAnsi"/>
          <w:strike/>
        </w:rPr>
        <w:t>.</w:t>
      </w:r>
      <w:r w:rsidRPr="00C829F5">
        <w:rPr>
          <w:rFonts w:cstheme="minorHAnsi"/>
          <w:strike/>
        </w:rPr>
        <w:t xml:space="preserve"> 5 albo</w:t>
      </w:r>
    </w:p>
    <w:p w14:paraId="68703F57" w14:textId="14C363AC" w:rsidR="0039186E" w:rsidRPr="00C829F5" w:rsidRDefault="0039186E" w:rsidP="00EE0F94">
      <w:pPr>
        <w:numPr>
          <w:ilvl w:val="1"/>
          <w:numId w:val="72"/>
        </w:numPr>
        <w:jc w:val="both"/>
        <w:rPr>
          <w:rFonts w:cstheme="minorHAnsi"/>
          <w:strike/>
        </w:rPr>
      </w:pPr>
      <w:r w:rsidRPr="00C829F5">
        <w:rPr>
          <w:rFonts w:cstheme="minorHAnsi"/>
          <w:strike/>
        </w:rPr>
        <w:t xml:space="preserve">rozwiązaniu niniejszej </w:t>
      </w:r>
      <w:r w:rsidR="00FA22FB" w:rsidRPr="00C829F5">
        <w:rPr>
          <w:rFonts w:cstheme="minorHAnsi"/>
          <w:strike/>
        </w:rPr>
        <w:t>U</w:t>
      </w:r>
      <w:r w:rsidRPr="00C829F5">
        <w:rPr>
          <w:rFonts w:cstheme="minorHAnsi"/>
          <w:strike/>
        </w:rPr>
        <w:t>mowy.</w:t>
      </w:r>
      <w:r w:rsidRPr="00C829F5">
        <w:rPr>
          <w:strike/>
          <w:vertAlign w:val="superscript"/>
        </w:rPr>
        <w:footnoteReference w:id="24"/>
      </w:r>
    </w:p>
    <w:p w14:paraId="353AEA1D" w14:textId="373AD11B" w:rsidR="0039186E" w:rsidRPr="00C829F5" w:rsidRDefault="0039186E" w:rsidP="00EE0F94">
      <w:pPr>
        <w:numPr>
          <w:ilvl w:val="0"/>
          <w:numId w:val="71"/>
        </w:numPr>
        <w:jc w:val="both"/>
        <w:rPr>
          <w:rFonts w:cstheme="minorHAnsi"/>
          <w:strike/>
        </w:rPr>
      </w:pPr>
      <w:r w:rsidRPr="00C829F5">
        <w:rPr>
          <w:rFonts w:cstheme="minorHAnsi"/>
          <w:strike/>
        </w:rPr>
        <w:t>Dofinansowaniu podlegają wyłącznie nakłady inwestycyjne</w:t>
      </w:r>
      <w:r w:rsidR="00743AE9" w:rsidRPr="00C829F5">
        <w:rPr>
          <w:rStyle w:val="Odwoanieprzypisudolnego"/>
          <w:strike/>
        </w:rPr>
        <w:footnoteReference w:id="25"/>
      </w:r>
      <w:r w:rsidRPr="00C829F5">
        <w:rPr>
          <w:rFonts w:cstheme="minorHAnsi"/>
          <w:strike/>
        </w:rPr>
        <w:t>.</w:t>
      </w:r>
    </w:p>
    <w:p w14:paraId="30341787" w14:textId="15F9F362" w:rsidR="0039186E" w:rsidRPr="00C829F5" w:rsidRDefault="0039186E" w:rsidP="00EE0F94">
      <w:pPr>
        <w:numPr>
          <w:ilvl w:val="0"/>
          <w:numId w:val="71"/>
        </w:numPr>
        <w:jc w:val="both"/>
        <w:rPr>
          <w:rFonts w:cstheme="minorHAnsi"/>
          <w:strike/>
        </w:rPr>
      </w:pPr>
      <w:r w:rsidRPr="00C829F5">
        <w:rPr>
          <w:rFonts w:cstheme="minorHAnsi"/>
          <w:strike/>
        </w:rPr>
        <w:t xml:space="preserve">Rozliczenie wydatków ponoszonych w </w:t>
      </w:r>
      <w:r w:rsidR="00EC327C" w:rsidRPr="00C829F5">
        <w:rPr>
          <w:rFonts w:cstheme="minorHAnsi"/>
          <w:strike/>
        </w:rPr>
        <w:t>P</w:t>
      </w:r>
      <w:r w:rsidRPr="00C829F5">
        <w:rPr>
          <w:rFonts w:cstheme="minorHAnsi"/>
          <w:strike/>
        </w:rPr>
        <w:t xml:space="preserve">rojekcie, przebiega zgodnie z postanowieniami paragrafów 10 i 11 niniejszej </w:t>
      </w:r>
      <w:r w:rsidR="00FA22FB" w:rsidRPr="00C829F5">
        <w:rPr>
          <w:rFonts w:cstheme="minorHAnsi"/>
          <w:strike/>
        </w:rPr>
        <w:t>U</w:t>
      </w:r>
      <w:r w:rsidRPr="00C829F5">
        <w:rPr>
          <w:rFonts w:cstheme="minorHAnsi"/>
          <w:strike/>
        </w:rPr>
        <w:t>mowy, z zastrzeżeniem sposobu, o którym mowa w ust</w:t>
      </w:r>
      <w:r w:rsidR="007134AF" w:rsidRPr="00C829F5">
        <w:rPr>
          <w:rFonts w:cstheme="minorHAnsi"/>
          <w:strike/>
        </w:rPr>
        <w:t>.</w:t>
      </w:r>
      <w:r w:rsidRPr="00C829F5">
        <w:rPr>
          <w:rFonts w:cstheme="minorHAnsi"/>
          <w:strike/>
        </w:rPr>
        <w:t xml:space="preserve"> 10.</w:t>
      </w:r>
    </w:p>
    <w:p w14:paraId="59776A56" w14:textId="1D8939DA" w:rsidR="0039186E" w:rsidRPr="00C829F5" w:rsidRDefault="0039186E" w:rsidP="00EE0F94">
      <w:pPr>
        <w:numPr>
          <w:ilvl w:val="0"/>
          <w:numId w:val="71"/>
        </w:numPr>
        <w:jc w:val="both"/>
        <w:rPr>
          <w:rFonts w:cstheme="minorHAnsi"/>
          <w:strike/>
        </w:rPr>
      </w:pPr>
      <w:r w:rsidRPr="00C829F5">
        <w:rPr>
          <w:rFonts w:cstheme="minorHAnsi"/>
          <w:strike/>
        </w:rPr>
        <w:t xml:space="preserve">Rozliczenie w </w:t>
      </w:r>
      <w:r w:rsidR="00EC327C" w:rsidRPr="00C829F5">
        <w:rPr>
          <w:rFonts w:cstheme="minorHAnsi"/>
          <w:strike/>
        </w:rPr>
        <w:t>P</w:t>
      </w:r>
      <w:r w:rsidRPr="00C829F5">
        <w:rPr>
          <w:rFonts w:cstheme="minorHAnsi"/>
          <w:strike/>
        </w:rPr>
        <w:t xml:space="preserve">rojekcie będzie prowadzone w oparciu o szczególny sposób rozliczenia projektów hybrydowych wskazany w Wytycznych dotyczących zagadnień związanych </w:t>
      </w:r>
      <w:r w:rsidRPr="00C829F5">
        <w:rPr>
          <w:rFonts w:cstheme="minorHAnsi"/>
          <w:strike/>
        </w:rPr>
        <w:br/>
        <w:t>z przygotowaniem projektów inwestycyjnych, w tym hybrydowych na lata 2021-2027, zgodnie z postanowieniami umowy o PPP, gdy zostaną spełnione następujące wymogi łącznie:</w:t>
      </w:r>
    </w:p>
    <w:p w14:paraId="55374C58" w14:textId="76EB0012" w:rsidR="0039186E" w:rsidRPr="00C829F5" w:rsidRDefault="0039186E" w:rsidP="00EE0F94">
      <w:pPr>
        <w:numPr>
          <w:ilvl w:val="1"/>
          <w:numId w:val="71"/>
        </w:numPr>
        <w:jc w:val="both"/>
        <w:rPr>
          <w:rFonts w:cstheme="minorHAnsi"/>
          <w:strike/>
        </w:rPr>
      </w:pPr>
      <w:r w:rsidRPr="00C829F5">
        <w:rPr>
          <w:rFonts w:cstheme="minorHAnsi"/>
          <w:strike/>
        </w:rPr>
        <w:t xml:space="preserve">IZ przekaże na rachunek powierniczy wskazany w § 8 </w:t>
      </w:r>
      <w:r w:rsidR="00FA22FB" w:rsidRPr="00C829F5">
        <w:rPr>
          <w:rFonts w:cstheme="minorHAnsi"/>
          <w:strike/>
        </w:rPr>
        <w:t>U</w:t>
      </w:r>
      <w:r w:rsidRPr="00C829F5">
        <w:rPr>
          <w:rFonts w:cstheme="minorHAnsi"/>
          <w:strike/>
        </w:rPr>
        <w:t>mowy środki zaliczki odpowiadającej wydatkowi, który ma być uznany za kwalifikowalny, w wysokości wynikającej z postanowień umowy o PPP w tym zakresie,</w:t>
      </w:r>
    </w:p>
    <w:p w14:paraId="4578A369" w14:textId="77777777" w:rsidR="0039186E" w:rsidRPr="00C829F5" w:rsidRDefault="0039186E" w:rsidP="00EE0F94">
      <w:pPr>
        <w:numPr>
          <w:ilvl w:val="1"/>
          <w:numId w:val="71"/>
        </w:numPr>
        <w:jc w:val="both"/>
        <w:rPr>
          <w:rFonts w:cstheme="minorHAnsi"/>
          <w:strike/>
        </w:rPr>
      </w:pPr>
      <w:r w:rsidRPr="00C829F5">
        <w:rPr>
          <w:rFonts w:cstheme="minorHAnsi"/>
          <w:strike/>
        </w:rPr>
        <w:t>partner prywatny udokumentuje zrealizowanie prac, których dotyczy wydatek,</w:t>
      </w:r>
    </w:p>
    <w:p w14:paraId="4021CC03" w14:textId="5189B310" w:rsidR="0039186E" w:rsidRPr="00C829F5" w:rsidRDefault="00EC1B72" w:rsidP="00EE0F94">
      <w:pPr>
        <w:numPr>
          <w:ilvl w:val="1"/>
          <w:numId w:val="71"/>
        </w:numPr>
        <w:jc w:val="both"/>
        <w:rPr>
          <w:rFonts w:cstheme="minorHAnsi"/>
          <w:strike/>
        </w:rPr>
      </w:pPr>
      <w:r w:rsidRPr="00C829F5">
        <w:rPr>
          <w:rFonts w:cstheme="minorHAnsi"/>
          <w:strike/>
        </w:rPr>
        <w:t>B</w:t>
      </w:r>
      <w:r w:rsidR="0039186E" w:rsidRPr="00C829F5">
        <w:rPr>
          <w:rFonts w:cstheme="minorHAnsi"/>
          <w:strike/>
        </w:rPr>
        <w:t>eneficjent załączy do wniosku o płatność dokumentację potwierdzającą zrealizowanie prac, wskazanych w punkcie 2,</w:t>
      </w:r>
    </w:p>
    <w:p w14:paraId="6B9C52E6" w14:textId="77777777" w:rsidR="0039186E" w:rsidRPr="00C829F5" w:rsidRDefault="0039186E" w:rsidP="00EE0F94">
      <w:pPr>
        <w:numPr>
          <w:ilvl w:val="1"/>
          <w:numId w:val="71"/>
        </w:numPr>
        <w:jc w:val="both"/>
        <w:rPr>
          <w:strike/>
        </w:rPr>
      </w:pPr>
      <w:r w:rsidRPr="00C829F5">
        <w:rPr>
          <w:rFonts w:cstheme="minorHAnsi"/>
          <w:strike/>
        </w:rPr>
        <w:t>IZ potwierdzi, że prace dotyczące tego wydatku zostały faktycznie zrealizowane.</w:t>
      </w:r>
    </w:p>
    <w:p w14:paraId="67252A27" w14:textId="6AA6CEAE" w:rsidR="0039186E" w:rsidRPr="006C3AD2" w:rsidRDefault="0039186E" w:rsidP="00EE0F94">
      <w:pPr>
        <w:numPr>
          <w:ilvl w:val="0"/>
          <w:numId w:val="71"/>
        </w:numPr>
        <w:jc w:val="both"/>
      </w:pPr>
      <w:r w:rsidRPr="00C829F5">
        <w:rPr>
          <w:strike/>
        </w:rPr>
        <w:t xml:space="preserve">W projekcie hybrydowym, którego </w:t>
      </w:r>
      <w:r w:rsidR="00EC1B72" w:rsidRPr="00C829F5">
        <w:rPr>
          <w:strike/>
        </w:rPr>
        <w:t>B</w:t>
      </w:r>
      <w:r w:rsidRPr="00C829F5">
        <w:rPr>
          <w:strike/>
        </w:rPr>
        <w:t>eneficjentem jest podmiot publiczny, dopuszczalne jest, aby podmiot publiczny przekazał partnerowi prywatnemu środki z zaliczki na poczet dofinansowania ze środków UE</w:t>
      </w:r>
      <w:r w:rsidRPr="006C3AD2">
        <w:t>.</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6"/>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lastRenderedPageBreak/>
        <w:t>nazwa odbiorcy środków: ……......................………..…………...………………..….</w:t>
      </w:r>
      <w:r w:rsidRPr="006C3AD2">
        <w:rPr>
          <w:rStyle w:val="Odwoanieprzypisudolnego"/>
        </w:rPr>
        <w:footnoteReference w:id="27"/>
      </w:r>
      <w:r w:rsidRPr="006C3AD2">
        <w:t xml:space="preserve">  </w:t>
      </w:r>
      <w:r w:rsidR="00637391" w:rsidRPr="006C3AD2">
        <w:t>nr rachunku bankowego</w:t>
      </w:r>
      <w:r w:rsidR="002304C3" w:rsidRPr="006C3AD2">
        <w:rPr>
          <w:rStyle w:val="Odwoanieprzypisudolnego"/>
        </w:rPr>
        <w:footnoteReference w:id="28"/>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29"/>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0"/>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1"/>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AB5CE3" w:rsidRDefault="00DC237F" w:rsidP="003E7074">
      <w:pPr>
        <w:pStyle w:val="Akapitzlist"/>
        <w:numPr>
          <w:ilvl w:val="0"/>
          <w:numId w:val="47"/>
        </w:numPr>
        <w:jc w:val="both"/>
        <w:rPr>
          <w:strike/>
        </w:rPr>
      </w:pPr>
      <w:r w:rsidRPr="00AB5CE3">
        <w:rPr>
          <w:strike/>
        </w:rPr>
        <w:t>dane rachunku bankowego Partnera Projektu</w:t>
      </w:r>
      <w:bookmarkStart w:id="8" w:name="_Hlk493681007"/>
      <w:r w:rsidR="001174C8" w:rsidRPr="00AB5CE3">
        <w:rPr>
          <w:rStyle w:val="Odwoanieprzypisudolnego"/>
          <w:strike/>
        </w:rPr>
        <w:footnoteReference w:id="32"/>
      </w:r>
      <w:r w:rsidRPr="00AB5CE3">
        <w:rPr>
          <w:strike/>
        </w:rPr>
        <w:t>:</w:t>
      </w:r>
      <w:bookmarkEnd w:id="8"/>
    </w:p>
    <w:p w14:paraId="6A9DE072" w14:textId="77777777" w:rsidR="00D72AA7" w:rsidRPr="00AB5CE3" w:rsidRDefault="00D72AA7" w:rsidP="00DC237F">
      <w:pPr>
        <w:ind w:left="1071" w:hanging="357"/>
        <w:jc w:val="both"/>
        <w:rPr>
          <w:strike/>
        </w:rPr>
      </w:pPr>
      <w:r w:rsidRPr="00AB5CE3">
        <w:rPr>
          <w:strike/>
        </w:rPr>
        <w:t>n</w:t>
      </w:r>
      <w:r w:rsidR="00DC237F" w:rsidRPr="00AB5CE3">
        <w:rPr>
          <w:strike/>
        </w:rPr>
        <w:t>azwa właścic</w:t>
      </w:r>
      <w:r w:rsidRPr="00AB5CE3">
        <w:rPr>
          <w:strike/>
        </w:rPr>
        <w:t xml:space="preserve">iela rachunku bankowego: </w:t>
      </w:r>
      <w:r w:rsidR="00DC237F" w:rsidRPr="00AB5CE3">
        <w:rPr>
          <w:strike/>
        </w:rPr>
        <w:t>………</w:t>
      </w:r>
      <w:r w:rsidRPr="00AB5CE3">
        <w:rPr>
          <w:strike/>
        </w:rPr>
        <w:t>............................</w:t>
      </w:r>
      <w:r w:rsidR="00DC237F" w:rsidRPr="00AB5CE3">
        <w:rPr>
          <w:strike/>
        </w:rPr>
        <w:t>………………..…</w:t>
      </w:r>
      <w:r w:rsidR="001174C8" w:rsidRPr="00AB5CE3">
        <w:rPr>
          <w:rStyle w:val="Odwoanieprzypisudolnego"/>
          <w:strike/>
        </w:rPr>
        <w:footnoteReference w:id="33"/>
      </w:r>
      <w:r w:rsidRPr="00AB5CE3">
        <w:rPr>
          <w:strike/>
        </w:rPr>
        <w:t xml:space="preserve"> </w:t>
      </w:r>
    </w:p>
    <w:p w14:paraId="56B8E81B" w14:textId="5B2F0F56" w:rsidR="00637391" w:rsidRPr="00AB5CE3" w:rsidRDefault="00637391" w:rsidP="00637391">
      <w:pPr>
        <w:pStyle w:val="Akapitzlist"/>
        <w:ind w:left="714"/>
        <w:jc w:val="both"/>
        <w:rPr>
          <w:strike/>
        </w:rPr>
      </w:pPr>
      <w:r w:rsidRPr="00AB5CE3">
        <w:rPr>
          <w:strike/>
        </w:rPr>
        <w:t>nr rachunku bankowego</w:t>
      </w:r>
      <w:r w:rsidR="00FD10C5" w:rsidRPr="00AB5CE3">
        <w:rPr>
          <w:rStyle w:val="Odwoanieprzypisudolnego"/>
          <w:strike/>
        </w:rPr>
        <w:footnoteReference w:id="34"/>
      </w:r>
      <w:r w:rsidRPr="00AB5CE3">
        <w:rPr>
          <w:strike/>
        </w:rPr>
        <w:t>: ………..………… (dla płatności dofinansowania w formie zaliczki) prowadzony w ........…...........…………,</w:t>
      </w:r>
    </w:p>
    <w:p w14:paraId="7690145D" w14:textId="77777777" w:rsidR="00637391" w:rsidRPr="006C3AD2" w:rsidRDefault="00637391" w:rsidP="00637391">
      <w:pPr>
        <w:pStyle w:val="Akapitzlist"/>
        <w:ind w:left="709"/>
        <w:jc w:val="both"/>
      </w:pPr>
      <w:r w:rsidRPr="00AB5CE3">
        <w:rPr>
          <w:strike/>
        </w:rPr>
        <w:t>nr rachunku bankowego: ………..………… (dla płatności dofinansowania w formie refundacji) prowadzony w ........…...........…………</w:t>
      </w:r>
      <w:r w:rsidRPr="006C3AD2">
        <w:t xml:space="preserve"> </w:t>
      </w:r>
    </w:p>
    <w:p w14:paraId="3412C0E3" w14:textId="77777777" w:rsidR="00687860" w:rsidRPr="006C3AD2" w:rsidRDefault="00687860" w:rsidP="00637391">
      <w:pPr>
        <w:pStyle w:val="Akapitzlist"/>
        <w:ind w:left="709"/>
        <w:jc w:val="both"/>
      </w:pPr>
    </w:p>
    <w:p w14:paraId="047F7CBD" w14:textId="77777777" w:rsidR="00687860" w:rsidRPr="00AB5CE3" w:rsidRDefault="00687860" w:rsidP="00687860">
      <w:pPr>
        <w:pStyle w:val="Akapitzlist"/>
        <w:numPr>
          <w:ilvl w:val="0"/>
          <w:numId w:val="47"/>
        </w:numPr>
        <w:jc w:val="both"/>
        <w:rPr>
          <w:strike/>
        </w:rPr>
      </w:pPr>
      <w:r w:rsidRPr="00AB5CE3">
        <w:rPr>
          <w:strike/>
        </w:rPr>
        <w:t>dane rachunku powierniczego Projektu hybrydowego</w:t>
      </w:r>
      <w:r w:rsidRPr="00AB5CE3">
        <w:rPr>
          <w:rStyle w:val="Odwoanieprzypisudolnego"/>
          <w:strike/>
        </w:rPr>
        <w:footnoteReference w:id="35"/>
      </w:r>
      <w:r w:rsidRPr="00AB5CE3">
        <w:rPr>
          <w:strike/>
        </w:rPr>
        <w:t>:</w:t>
      </w:r>
    </w:p>
    <w:p w14:paraId="29E11CA1" w14:textId="77777777" w:rsidR="00687860" w:rsidRPr="00AB5CE3" w:rsidRDefault="00687860" w:rsidP="00687860">
      <w:pPr>
        <w:ind w:left="1071" w:hanging="357"/>
        <w:jc w:val="both"/>
        <w:rPr>
          <w:strike/>
        </w:rPr>
      </w:pPr>
      <w:r w:rsidRPr="00AB5CE3">
        <w:rPr>
          <w:strike/>
        </w:rPr>
        <w:t>nazwa właściciela rachunku powierniczego: ……............................………………..…</w:t>
      </w:r>
      <w:r w:rsidRPr="00AB5CE3">
        <w:rPr>
          <w:rStyle w:val="Odwoanieprzypisudolnego"/>
          <w:strike/>
        </w:rPr>
        <w:footnoteReference w:id="36"/>
      </w:r>
      <w:r w:rsidRPr="00AB5CE3">
        <w:rPr>
          <w:strike/>
        </w:rPr>
        <w:t xml:space="preserve"> </w:t>
      </w:r>
    </w:p>
    <w:p w14:paraId="103FDA1C" w14:textId="426E726C" w:rsidR="00355A86" w:rsidRPr="00AB5CE3" w:rsidRDefault="00355A86" w:rsidP="00355A86">
      <w:pPr>
        <w:pStyle w:val="Akapitzlist"/>
        <w:ind w:left="714"/>
        <w:jc w:val="both"/>
        <w:rPr>
          <w:strike/>
        </w:rPr>
      </w:pPr>
      <w:r w:rsidRPr="00AB5CE3">
        <w:rPr>
          <w:strike/>
        </w:rPr>
        <w:t>nr rachunku powierniczego: ………..………… (dla płatności dofinansowania w formie zaliczki</w:t>
      </w:r>
      <w:r w:rsidR="00743AE9" w:rsidRPr="00AB5CE3">
        <w:rPr>
          <w:strike/>
        </w:rPr>
        <w:t xml:space="preserve"> i/lub refundacji</w:t>
      </w:r>
      <w:r w:rsidRPr="00AB5CE3">
        <w:rPr>
          <w:strike/>
        </w:rPr>
        <w:t>) prowadzony w ........…...........…………,</w:t>
      </w:r>
    </w:p>
    <w:p w14:paraId="7F65EE9A" w14:textId="77777777" w:rsidR="00687860" w:rsidRPr="00AB5CE3" w:rsidRDefault="00687860" w:rsidP="00637391">
      <w:pPr>
        <w:pStyle w:val="Akapitzlist"/>
        <w:ind w:left="709"/>
        <w:jc w:val="both"/>
        <w:rPr>
          <w:strike/>
        </w:rPr>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bankowego/ych, o którym/ch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 xml:space="preserve">będzie przysługiwać Beneficjentowi - Cedentowi pod warunkiem realizacji przez niego wszelkich wymienionych w niniejszej Umowie obowiązków oraz z zastrzeżeniem </w:t>
      </w:r>
      <w:r w:rsidRPr="006C3AD2">
        <w:lastRenderedPageBreak/>
        <w:t>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7"/>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8"/>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w:t>
      </w:r>
      <w:r w:rsidRPr="006C3AD2">
        <w:rPr>
          <w:iCs/>
        </w:rPr>
        <w:lastRenderedPageBreak/>
        <w:t xml:space="preserve">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5C31E255"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097D1B">
        <w:rPr>
          <w:bCs/>
        </w:rPr>
        <w:t xml:space="preserve">w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39"/>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w:t>
      </w:r>
      <w:r w:rsidRPr="006C3AD2">
        <w:lastRenderedPageBreak/>
        <w:t>użytkowanie infrastruktury projektu – jeśli dotyczy, informacje na temat umowy z NFZ – jeśli dotyczy</w:t>
      </w:r>
      <w:r w:rsidRPr="006C3AD2">
        <w:rPr>
          <w:vertAlign w:val="superscript"/>
        </w:rPr>
        <w:footnoteReference w:id="40"/>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17C75179" w14:textId="5DD01A69" w:rsidR="00097D1B" w:rsidRPr="00097D1B" w:rsidRDefault="00097D1B" w:rsidP="003E7074">
      <w:pPr>
        <w:pStyle w:val="Akapitzlist"/>
        <w:numPr>
          <w:ilvl w:val="0"/>
          <w:numId w:val="15"/>
        </w:numPr>
        <w:ind w:left="714" w:hanging="357"/>
        <w:jc w:val="both"/>
      </w:pPr>
      <w:r w:rsidRPr="00097D1B">
        <w:t>wprowadzenie w systemie CST2021 danych dotyczących zaangażowania personelu projektu;</w:t>
      </w:r>
    </w:p>
    <w:p w14:paraId="7C78FB41" w14:textId="00C4C50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1"/>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lastRenderedPageBreak/>
        <w:t xml:space="preserve">niewykonania lub nienależytego wykonania przez Beneficjenta obowiązków wynikających z Umowy i przepisów prawa. </w:t>
      </w:r>
    </w:p>
    <w:p w14:paraId="4316CE99" w14:textId="34AB8AD7"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7555C0">
        <w:rPr>
          <w:lang w:val="pl-PL"/>
        </w:rPr>
        <w:t>poprzedniego</w:t>
      </w:r>
      <w:r w:rsidRPr="006C3AD2">
        <w:rPr>
          <w:lang w:val="pl-PL"/>
        </w:rPr>
        <w:t xml:space="preserve">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lastRenderedPageBreak/>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149D85E2" w14:textId="7B3C117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000B549D">
        <w:t>Uproszczone metody rozliczania wydatków</w:t>
      </w:r>
      <w:r w:rsidR="00042ED5">
        <w:rPr>
          <w:rStyle w:val="Odwoanieprzypisudolnego"/>
        </w:rPr>
        <w:footnoteReference w:id="42"/>
      </w:r>
    </w:p>
    <w:p w14:paraId="46B7590D" w14:textId="0E57932C" w:rsidR="009F30C0" w:rsidRPr="00353ED3" w:rsidRDefault="009F30C0" w:rsidP="009F30C0">
      <w:pPr>
        <w:pStyle w:val="Tekstpodstawowy"/>
        <w:numPr>
          <w:ilvl w:val="0"/>
          <w:numId w:val="16"/>
        </w:numPr>
        <w:tabs>
          <w:tab w:val="left" w:pos="426"/>
        </w:tabs>
      </w:pPr>
      <w:r w:rsidRPr="00353ED3">
        <w:t xml:space="preserve">Beneficjent jest uprawniony do rozliczenia w ramach kosztów kwalifikowalnych Projektu kosztów pośrednich, zgodnie ze stawką ryczałtową stanowiącą procentową wartość od </w:t>
      </w:r>
      <w:r w:rsidRPr="00353ED3">
        <w:lastRenderedPageBreak/>
        <w:t>bezpośrednich kosztów personelu. W przypadku rozliczania kosztów pośrednich metodą stawki ryczałtowej obowiązują następujące zasady:</w:t>
      </w:r>
    </w:p>
    <w:p w14:paraId="6BD33EB7" w14:textId="71BEBAAA" w:rsidR="009F30C0" w:rsidRPr="00353ED3" w:rsidRDefault="009F30C0" w:rsidP="00EE0F94">
      <w:pPr>
        <w:pStyle w:val="Tekstpodstawowy"/>
        <w:numPr>
          <w:ilvl w:val="0"/>
          <w:numId w:val="77"/>
        </w:numPr>
        <w:tabs>
          <w:tab w:val="left" w:pos="426"/>
        </w:tabs>
      </w:pPr>
      <w:r w:rsidRPr="00353ED3">
        <w:t>stawk</w:t>
      </w:r>
      <w:r w:rsidR="000A05F2" w:rsidRPr="00353ED3">
        <w:t>a</w:t>
      </w:r>
      <w:r w:rsidRPr="00353ED3">
        <w:t xml:space="preserve"> ryczałtow</w:t>
      </w:r>
      <w:r w:rsidR="000A05F2" w:rsidRPr="00353ED3">
        <w:t>a</w:t>
      </w:r>
      <w:r w:rsidRPr="00353ED3">
        <w:t xml:space="preserve"> wynosi 15% wartości bezpośrednich kosztów personelu</w:t>
      </w:r>
      <w:r w:rsidR="004C6994" w:rsidRPr="00353ED3">
        <w:t>;</w:t>
      </w:r>
    </w:p>
    <w:p w14:paraId="554CD12E" w14:textId="5CE09282" w:rsidR="009F30C0" w:rsidRPr="00353ED3" w:rsidRDefault="009F30C0" w:rsidP="00EE0F94">
      <w:pPr>
        <w:pStyle w:val="Tekstpodstawowy"/>
        <w:numPr>
          <w:ilvl w:val="0"/>
          <w:numId w:val="77"/>
        </w:numPr>
        <w:tabs>
          <w:tab w:val="left" w:pos="426"/>
        </w:tabs>
      </w:pPr>
      <w:r w:rsidRPr="00353ED3">
        <w:t>wysokość stawki ryczałtowej jest niezmienna w okresie realizacji Projektu;</w:t>
      </w:r>
    </w:p>
    <w:p w14:paraId="144892EF" w14:textId="1E17436E" w:rsidR="009F30C0" w:rsidRPr="00E651BF" w:rsidRDefault="004C6994" w:rsidP="00EE0F94">
      <w:pPr>
        <w:pStyle w:val="Tekstpodstawowy"/>
        <w:numPr>
          <w:ilvl w:val="0"/>
          <w:numId w:val="77"/>
        </w:numPr>
        <w:tabs>
          <w:tab w:val="left" w:pos="426"/>
        </w:tabs>
      </w:pPr>
      <w:r w:rsidRPr="00353ED3">
        <w:t>w</w:t>
      </w:r>
      <w:r w:rsidR="009F30C0" w:rsidRPr="00353ED3">
        <w:t xml:space="preserve">ysokość kosztów pośrednich jest rozliczana zgodnie z ustaloną stawką ryczałtową </w:t>
      </w:r>
      <w:r w:rsidR="009F30C0" w:rsidRPr="00353ED3">
        <w:br/>
        <w:t xml:space="preserve">i jest uzależniona od wysokości zatwierdzonych bezpośrednich kosztów personelu, </w:t>
      </w:r>
      <w:r w:rsidR="009F30C0" w:rsidRPr="00E651BF">
        <w:t>ujętych w danym wniosku o płatność;</w:t>
      </w:r>
    </w:p>
    <w:p w14:paraId="0FFE4FA4" w14:textId="13F64228" w:rsidR="009F30C0" w:rsidRPr="00E651BF" w:rsidRDefault="004C6994" w:rsidP="00EE0F94">
      <w:pPr>
        <w:pStyle w:val="Tekstpodstawowy"/>
        <w:numPr>
          <w:ilvl w:val="0"/>
          <w:numId w:val="77"/>
        </w:numPr>
        <w:tabs>
          <w:tab w:val="left" w:pos="426"/>
        </w:tabs>
      </w:pPr>
      <w:r w:rsidRPr="00E651BF">
        <w:t>o</w:t>
      </w:r>
      <w:r w:rsidR="009F30C0" w:rsidRPr="00E651BF">
        <w:t>stateczna wysokość kosztów pośrednich Projektu zostanie potwierdzona na etapie zatwierdzania ostatniego wniosku o płatność końcową;</w:t>
      </w:r>
    </w:p>
    <w:p w14:paraId="42842157" w14:textId="6F662542" w:rsidR="009F30C0" w:rsidRPr="00353ED3" w:rsidRDefault="004C6994" w:rsidP="00EE0F94">
      <w:pPr>
        <w:pStyle w:val="Tekstpodstawowy"/>
        <w:numPr>
          <w:ilvl w:val="0"/>
          <w:numId w:val="77"/>
        </w:numPr>
        <w:tabs>
          <w:tab w:val="left" w:pos="426"/>
        </w:tabs>
      </w:pPr>
      <w:r w:rsidRPr="00353ED3">
        <w:t>w</w:t>
      </w:r>
      <w:r w:rsidR="009F30C0" w:rsidRPr="00353ED3">
        <w:t>ydatki rozliczone zgodnie ze stawką ryczałtową są traktowane jako wydatki faktycznie poniesione;</w:t>
      </w:r>
    </w:p>
    <w:p w14:paraId="63624625" w14:textId="7606479B" w:rsidR="00353ED3" w:rsidRPr="00E63D82" w:rsidRDefault="004C6994" w:rsidP="00353ED3">
      <w:pPr>
        <w:pStyle w:val="Tekstpodstawowy"/>
        <w:numPr>
          <w:ilvl w:val="0"/>
          <w:numId w:val="77"/>
        </w:numPr>
        <w:tabs>
          <w:tab w:val="left" w:pos="426"/>
        </w:tabs>
      </w:pPr>
      <w:r w:rsidRPr="00353ED3">
        <w:t xml:space="preserve">w </w:t>
      </w:r>
      <w:r w:rsidR="009F30C0" w:rsidRPr="00353ED3">
        <w:t xml:space="preserve">przypadku nałożenia korekty finansowej i/lub pomniejszenia wartości </w:t>
      </w:r>
      <w:r w:rsidRPr="00353ED3">
        <w:t>bezpośrednich kosztów personelu</w:t>
      </w:r>
      <w:r w:rsidR="009F30C0" w:rsidRPr="00353ED3">
        <w:t xml:space="preserve">, koszty pośrednie, rozliczane zgodnie ze stawką ryczałtową ulegają proporcjonalnemu obniżeniu i podlegają procedurze zwrotu, zgodnie z zasadami określonymi </w:t>
      </w:r>
      <w:r w:rsidR="009F30C0" w:rsidRPr="00E63D82">
        <w:t xml:space="preserve">w § </w:t>
      </w:r>
      <w:r w:rsidR="00155305" w:rsidRPr="00E63D82">
        <w:t>13</w:t>
      </w:r>
      <w:r w:rsidR="00353ED3" w:rsidRPr="00E63D82">
        <w:t>;</w:t>
      </w:r>
    </w:p>
    <w:p w14:paraId="7BAE1C75" w14:textId="3EF69E9B" w:rsidR="00353ED3" w:rsidRPr="00353ED3" w:rsidRDefault="00353ED3" w:rsidP="00EE0F94">
      <w:pPr>
        <w:pStyle w:val="Tekstpodstawowy"/>
        <w:numPr>
          <w:ilvl w:val="0"/>
          <w:numId w:val="77"/>
        </w:numPr>
        <w:tabs>
          <w:tab w:val="left" w:pos="426"/>
        </w:tabs>
      </w:pPr>
      <w:r w:rsidRPr="00353ED3">
        <w:t>dofinansowanie wynikające z rozliczenia kosztów pośrednich jest wypłacane w formie refundacji.</w:t>
      </w:r>
    </w:p>
    <w:p w14:paraId="392A5CA5" w14:textId="02004A97" w:rsidR="009F30C0" w:rsidRPr="00353ED3" w:rsidRDefault="009F30C0" w:rsidP="009F30C0">
      <w:pPr>
        <w:pStyle w:val="Tekstpodstawowy"/>
        <w:numPr>
          <w:ilvl w:val="0"/>
          <w:numId w:val="16"/>
        </w:numPr>
        <w:tabs>
          <w:tab w:val="left" w:pos="426"/>
        </w:tabs>
      </w:pPr>
      <w:r w:rsidRPr="00353ED3">
        <w:t xml:space="preserve">Koszty personelu rozliczane są zgodnie ze stawkami jednostkowymi (godzinowymi stawkami wynagrodzenia personelu projektu), </w:t>
      </w:r>
      <w:r w:rsidRPr="00E63D82">
        <w:t xml:space="preserve">określonymi </w:t>
      </w:r>
      <w:r w:rsidR="0050044A" w:rsidRPr="00E63D82">
        <w:t>w dokumentacji aplikacyjnej</w:t>
      </w:r>
      <w:r w:rsidRPr="00E63D82">
        <w:t xml:space="preserve">. </w:t>
      </w:r>
      <w:r w:rsidRPr="00353ED3">
        <w:t>W przypadku kosztów personelu rozliczanych metodą stawki jednostkowej obowiązują następujące zasady:</w:t>
      </w:r>
    </w:p>
    <w:p w14:paraId="59415CC6" w14:textId="3E23221B" w:rsidR="009F30C0" w:rsidRPr="00353ED3" w:rsidRDefault="004C6994" w:rsidP="00EE0F94">
      <w:pPr>
        <w:pStyle w:val="Tekstpodstawowy"/>
        <w:numPr>
          <w:ilvl w:val="2"/>
          <w:numId w:val="78"/>
        </w:numPr>
        <w:tabs>
          <w:tab w:val="left" w:pos="426"/>
        </w:tabs>
        <w:ind w:left="709"/>
      </w:pPr>
      <w:r w:rsidRPr="00353ED3">
        <w:t>p</w:t>
      </w:r>
      <w:r w:rsidR="009F30C0" w:rsidRPr="00353ED3">
        <w:t>rzyjęty na etapie wyboru Projektu do dofinansowania sposób rozliczenia kosztów personelu pozostaje niezmienny od momentu zawarcia Umowy;</w:t>
      </w:r>
    </w:p>
    <w:p w14:paraId="43F69476" w14:textId="0BA2E1B6" w:rsidR="009F30C0" w:rsidRPr="00353ED3" w:rsidRDefault="004C6994" w:rsidP="00EE0F94">
      <w:pPr>
        <w:pStyle w:val="Tekstpodstawowy"/>
        <w:numPr>
          <w:ilvl w:val="2"/>
          <w:numId w:val="78"/>
        </w:numPr>
        <w:tabs>
          <w:tab w:val="left" w:pos="426"/>
        </w:tabs>
        <w:ind w:left="709"/>
      </w:pPr>
      <w:r w:rsidRPr="00353ED3">
        <w:t>p</w:t>
      </w:r>
      <w:r w:rsidR="009F30C0" w:rsidRPr="00353ED3">
        <w:t>rzedstawiona przez Beneficjenta i zatwierdzona przez IZ FEŚ 2021-2027 wysokość stawek jednostkowych jest niezmienna w okresie realizacji Projektu;</w:t>
      </w:r>
    </w:p>
    <w:p w14:paraId="50A1152F" w14:textId="2984D80E" w:rsidR="009F30C0" w:rsidRPr="00353ED3" w:rsidRDefault="004C6994" w:rsidP="00EE0F94">
      <w:pPr>
        <w:pStyle w:val="Tekstpodstawowy"/>
        <w:numPr>
          <w:ilvl w:val="2"/>
          <w:numId w:val="78"/>
        </w:numPr>
        <w:tabs>
          <w:tab w:val="left" w:pos="426"/>
        </w:tabs>
        <w:ind w:left="709"/>
      </w:pPr>
      <w:r w:rsidRPr="00353ED3">
        <w:t>w</w:t>
      </w:r>
      <w:r w:rsidR="009F30C0" w:rsidRPr="00353ED3">
        <w:t>ydatki rozliczone zgodnie ze stawką jednostkową są traktowane jako wydatki faktycznie poniesione;</w:t>
      </w:r>
    </w:p>
    <w:p w14:paraId="2C683630" w14:textId="7C0DD1BE" w:rsidR="009F30C0" w:rsidRPr="00F62A3B" w:rsidRDefault="004C6994" w:rsidP="00EE0F94">
      <w:pPr>
        <w:pStyle w:val="Tekstpodstawowy"/>
        <w:numPr>
          <w:ilvl w:val="2"/>
          <w:numId w:val="78"/>
        </w:numPr>
        <w:tabs>
          <w:tab w:val="left" w:pos="426"/>
        </w:tabs>
        <w:ind w:left="709"/>
        <w:rPr>
          <w:color w:val="FF0000"/>
        </w:rPr>
      </w:pPr>
      <w:r w:rsidRPr="00ED4144">
        <w:t>s</w:t>
      </w:r>
      <w:r w:rsidR="009F30C0" w:rsidRPr="00ED4144">
        <w:t>prawdzeniu na etapie weryfikacji wniosku o płatność podlega prawidłowość wyliczenia kosztów kwalifikowalnych (wynagrodzenia) oraz dokumenty potwierdzające liczbę faktycznie przepracowanych przez pracownika godzin pracy na rzecz Projektu</w:t>
      </w:r>
      <w:r w:rsidR="009F30C0" w:rsidRPr="0050044A">
        <w:rPr>
          <w:color w:val="FF0000"/>
        </w:rPr>
        <w:t>;</w:t>
      </w:r>
    </w:p>
    <w:p w14:paraId="7C076326" w14:textId="2B8A4213" w:rsidR="009F30C0" w:rsidRPr="00ED4144" w:rsidRDefault="004C6994" w:rsidP="00EE0F94">
      <w:pPr>
        <w:pStyle w:val="Tekstpodstawowy"/>
        <w:numPr>
          <w:ilvl w:val="2"/>
          <w:numId w:val="78"/>
        </w:numPr>
        <w:tabs>
          <w:tab w:val="left" w:pos="426"/>
        </w:tabs>
        <w:ind w:left="709"/>
      </w:pPr>
      <w:r w:rsidRPr="00ED4144">
        <w:t>p</w:t>
      </w:r>
      <w:r w:rsidR="009F30C0" w:rsidRPr="00ED4144">
        <w:t>odstawą wyliczenia kosztów kwalifikowalnych (wynagrodzenia) w ramach kosztów personelu rozliczanych metodą stawki jednostkowej są faktycznie przepracowane godziny w projekcie, a zatem w wyliczeniu nie należy uwzględniać w szczególności czasu przypadającego na nieobecności pracownika wynikające z urlopów lub zwolnień z tytułu choroby bądź opieki;</w:t>
      </w:r>
    </w:p>
    <w:p w14:paraId="4FF9DA33" w14:textId="4420ABBD" w:rsidR="009F30C0" w:rsidRPr="005C276C" w:rsidRDefault="004C6994" w:rsidP="00EE0F94">
      <w:pPr>
        <w:pStyle w:val="Tekstpodstawowy"/>
        <w:numPr>
          <w:ilvl w:val="2"/>
          <w:numId w:val="78"/>
        </w:numPr>
        <w:tabs>
          <w:tab w:val="left" w:pos="426"/>
        </w:tabs>
        <w:ind w:left="709"/>
        <w:rPr>
          <w:b/>
          <w:bCs/>
        </w:rPr>
      </w:pPr>
      <w:r w:rsidRPr="005C276C">
        <w:rPr>
          <w:b/>
          <w:bCs/>
        </w:rPr>
        <w:t>r</w:t>
      </w:r>
      <w:r w:rsidR="009F30C0" w:rsidRPr="005C276C">
        <w:rPr>
          <w:b/>
          <w:bCs/>
        </w:rPr>
        <w:t xml:space="preserve">ozliczenie kosztów personelu, zgodnie ze stawkami jednostkowymi (godzinowymi stawkami wynagrodzenia personelu projektu), określonymi </w:t>
      </w:r>
      <w:r w:rsidR="00E0281F" w:rsidRPr="005C276C">
        <w:rPr>
          <w:b/>
          <w:bCs/>
        </w:rPr>
        <w:t>w dokumentacji aplikacyjnej</w:t>
      </w:r>
      <w:r w:rsidR="009F30C0" w:rsidRPr="005C276C">
        <w:rPr>
          <w:b/>
          <w:bCs/>
        </w:rPr>
        <w:t xml:space="preserve"> następuje w zależności od faktycznie przepracowanych godzin </w:t>
      </w:r>
      <w:r w:rsidR="009F30C0" w:rsidRPr="005C276C">
        <w:rPr>
          <w:b/>
          <w:bCs/>
        </w:rPr>
        <w:br/>
        <w:t>w projekcie według poniższej metodologii:</w:t>
      </w:r>
    </w:p>
    <w:p w14:paraId="656CEB9E" w14:textId="1A797C35" w:rsidR="009F30C0" w:rsidRPr="005C276C" w:rsidRDefault="009F30C0" w:rsidP="004C6994">
      <w:pPr>
        <w:pStyle w:val="Tekstpodstawowy"/>
        <w:tabs>
          <w:tab w:val="left" w:pos="426"/>
        </w:tabs>
        <w:ind w:left="709"/>
        <w:rPr>
          <w:b/>
          <w:bCs/>
        </w:rPr>
      </w:pPr>
      <w:r w:rsidRPr="005C276C">
        <w:rPr>
          <w:b/>
          <w:bCs/>
        </w:rPr>
        <w:t xml:space="preserve">Koszt kwalifikowalny (wynagrodzenie) = godzinowa stawka wynagrodzenia </w:t>
      </w:r>
      <w:r w:rsidR="004C6994" w:rsidRPr="005C276C">
        <w:rPr>
          <w:b/>
          <w:bCs/>
        </w:rPr>
        <w:br/>
      </w:r>
      <w:r w:rsidRPr="005C276C">
        <w:rPr>
          <w:b/>
          <w:bCs/>
        </w:rPr>
        <w:t>x liczba godzin faktycznie przepracowanych na rzecz Projektu</w:t>
      </w:r>
      <w:r w:rsidR="004C6994" w:rsidRPr="005C276C">
        <w:rPr>
          <w:b/>
          <w:bCs/>
        </w:rPr>
        <w:t>.</w:t>
      </w:r>
    </w:p>
    <w:p w14:paraId="404B1BAD" w14:textId="11576143" w:rsidR="009F30C0" w:rsidRPr="00F62A3B" w:rsidRDefault="009F30C0" w:rsidP="00EE0F94">
      <w:pPr>
        <w:pStyle w:val="Tekstpodstawowy"/>
        <w:numPr>
          <w:ilvl w:val="2"/>
          <w:numId w:val="78"/>
        </w:numPr>
        <w:tabs>
          <w:tab w:val="left" w:pos="426"/>
        </w:tabs>
        <w:ind w:left="709"/>
        <w:rPr>
          <w:color w:val="FF0000"/>
        </w:rPr>
      </w:pPr>
      <w:r w:rsidRPr="00881593">
        <w:t xml:space="preserve">Beneficjent dokumentuje liczbę faktycznie przepracowanych przez pracownika godzin pracy kartą czasu pracy na rzecz Projektu, której wzór stanowi załącznik </w:t>
      </w:r>
      <w:r w:rsidR="000A064A" w:rsidRPr="00881593">
        <w:t xml:space="preserve">nr 14 </w:t>
      </w:r>
      <w:r w:rsidRPr="00881593">
        <w:t>do Umowy</w:t>
      </w:r>
      <w:r w:rsidR="0039132E">
        <w:t xml:space="preserve">. </w:t>
      </w:r>
      <w:r w:rsidRPr="00881593">
        <w:t>IZ FEŚ 2021-2027 może zobowiązać Beneficjenta do przedstawienia dodatkowych dokumentów, na</w:t>
      </w:r>
      <w:r w:rsidR="00F62A3B" w:rsidRPr="00881593">
        <w:t xml:space="preserve"> </w:t>
      </w:r>
      <w:r w:rsidRPr="00881593">
        <w:t>podstawie których określono liczbę faktycznie przepracowanych przez</w:t>
      </w:r>
      <w:r w:rsidR="00F62A3B" w:rsidRPr="00881593">
        <w:t xml:space="preserve"> </w:t>
      </w:r>
      <w:r w:rsidRPr="00881593">
        <w:t>pracownika godzin pracy na rzecz Projektu</w:t>
      </w:r>
      <w:r w:rsidRPr="00F62A3B">
        <w:rPr>
          <w:color w:val="FF0000"/>
        </w:rPr>
        <w:t>;</w:t>
      </w:r>
    </w:p>
    <w:p w14:paraId="0FD4E604" w14:textId="7A5F12BB" w:rsidR="009F30C0" w:rsidRDefault="004C6994" w:rsidP="0039132E">
      <w:pPr>
        <w:pStyle w:val="Tekstpodstawowy"/>
        <w:numPr>
          <w:ilvl w:val="2"/>
          <w:numId w:val="78"/>
        </w:numPr>
        <w:tabs>
          <w:tab w:val="left" w:pos="426"/>
        </w:tabs>
        <w:ind w:left="709"/>
      </w:pPr>
      <w:r w:rsidRPr="0039132E">
        <w:t>ł</w:t>
      </w:r>
      <w:r w:rsidR="009F30C0" w:rsidRPr="0039132E">
        <w:t>ączna liczba zadeklarowanych godzin na osobę w danym roku lub miesiącu</w:t>
      </w:r>
      <w:r w:rsidR="00F62A3B" w:rsidRPr="0039132E">
        <w:t xml:space="preserve"> </w:t>
      </w:r>
      <w:r w:rsidR="009F30C0" w:rsidRPr="0039132E">
        <w:t>nie może przekraczać liczby godzin zastosowanej do obliczenia stawki</w:t>
      </w:r>
      <w:r w:rsidR="00F62A3B" w:rsidRPr="0039132E">
        <w:t xml:space="preserve"> </w:t>
      </w:r>
      <w:r w:rsidR="009F30C0" w:rsidRPr="0039132E">
        <w:t xml:space="preserve">godzinowej. Jeżeli do </w:t>
      </w:r>
      <w:r w:rsidR="009F30C0" w:rsidRPr="0039132E">
        <w:lastRenderedPageBreak/>
        <w:t>obliczenia stawki stosowano roczne koszty zatrudnienia</w:t>
      </w:r>
      <w:r w:rsidR="00F62A3B" w:rsidRPr="0039132E">
        <w:t xml:space="preserve"> </w:t>
      </w:r>
      <w:r w:rsidR="009F30C0" w:rsidRPr="0039132E">
        <w:t>wówczas liczba zadeklarowanych godzin w roku nie może przekroczyć 1720.</w:t>
      </w:r>
    </w:p>
    <w:p w14:paraId="627356CA" w14:textId="39A526F9"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444AD644" w:rsidR="00E72082" w:rsidRPr="006C3AD2" w:rsidRDefault="00E72082" w:rsidP="00EE0F94">
      <w:pPr>
        <w:pStyle w:val="Tekstpodstawowy"/>
        <w:numPr>
          <w:ilvl w:val="0"/>
          <w:numId w:val="68"/>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EE0F94">
      <w:pPr>
        <w:pStyle w:val="Tekstpodstawowy"/>
        <w:numPr>
          <w:ilvl w:val="0"/>
          <w:numId w:val="68"/>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3"/>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E0F94">
      <w:pPr>
        <w:pStyle w:val="Tekstpodstawowy"/>
        <w:numPr>
          <w:ilvl w:val="0"/>
          <w:numId w:val="76"/>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EE0F94">
      <w:pPr>
        <w:pStyle w:val="Tekstpodstawowy"/>
        <w:numPr>
          <w:ilvl w:val="0"/>
          <w:numId w:val="76"/>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EE0F94">
      <w:pPr>
        <w:pStyle w:val="Tekstpodstawowy"/>
        <w:numPr>
          <w:ilvl w:val="0"/>
          <w:numId w:val="76"/>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EE0F94">
      <w:pPr>
        <w:pStyle w:val="Tekstpodstawowy"/>
        <w:numPr>
          <w:ilvl w:val="0"/>
          <w:numId w:val="76"/>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4"/>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EE0F94">
      <w:pPr>
        <w:pStyle w:val="Tekstpodstawowy"/>
        <w:numPr>
          <w:ilvl w:val="0"/>
          <w:numId w:val="76"/>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EE0F94">
      <w:pPr>
        <w:pStyle w:val="Tekstpodstawowy"/>
        <w:numPr>
          <w:ilvl w:val="0"/>
          <w:numId w:val="76"/>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EE0F94">
      <w:pPr>
        <w:pStyle w:val="Tekstpodstawowy"/>
        <w:numPr>
          <w:ilvl w:val="0"/>
          <w:numId w:val="76"/>
        </w:numPr>
        <w:tabs>
          <w:tab w:val="left" w:pos="426"/>
        </w:tabs>
        <w:ind w:left="284" w:hanging="284"/>
      </w:pPr>
      <w:r w:rsidRPr="006C3AD2">
        <w:lastRenderedPageBreak/>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EE0F94">
      <w:pPr>
        <w:pStyle w:val="Tekstpodstawowy"/>
        <w:numPr>
          <w:ilvl w:val="0"/>
          <w:numId w:val="76"/>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EE0F94">
      <w:pPr>
        <w:pStyle w:val="Tekstpodstawowy"/>
        <w:numPr>
          <w:ilvl w:val="0"/>
          <w:numId w:val="76"/>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EE0F94">
      <w:pPr>
        <w:pStyle w:val="Tekstpodstawowy"/>
        <w:numPr>
          <w:ilvl w:val="0"/>
          <w:numId w:val="76"/>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EE0F94">
      <w:pPr>
        <w:pStyle w:val="Tekstpodstawowy"/>
        <w:numPr>
          <w:ilvl w:val="0"/>
          <w:numId w:val="76"/>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EE0F94">
      <w:pPr>
        <w:pStyle w:val="Tekstpodstawowy"/>
        <w:numPr>
          <w:ilvl w:val="0"/>
          <w:numId w:val="76"/>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EE0F94">
      <w:pPr>
        <w:pStyle w:val="Tekstpodstawowy"/>
        <w:numPr>
          <w:ilvl w:val="0"/>
          <w:numId w:val="76"/>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EE0F94">
      <w:pPr>
        <w:pStyle w:val="Tekstpodstawowy"/>
        <w:numPr>
          <w:ilvl w:val="0"/>
          <w:numId w:val="76"/>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5"/>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w:t>
      </w:r>
      <w:r w:rsidRPr="006C3AD2">
        <w:lastRenderedPageBreak/>
        <w:t xml:space="preserve">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na zasadach określonych w art. 207 ufp.</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6"/>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7"/>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lastRenderedPageBreak/>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2F14ABE3" w14:textId="77777777" w:rsidR="00285499" w:rsidRPr="006C3AD2" w:rsidRDefault="00285499" w:rsidP="00B61D53">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oraz Wytyczne dotyczące kwalifikowalności wydatków na lata 2021-2027. W przypadku, gdy ustawodawstwo krajowe pozostaje </w:t>
      </w:r>
      <w:r w:rsidRPr="006C3AD2">
        <w:rPr>
          <w:rFonts w:cs="Arial"/>
        </w:rPr>
        <w:br/>
        <w:t xml:space="preserve">w sprzeczności z przepisami unijnymi dotyczącymi zamówień publicznych, należy stosować przepisy unijne.  </w:t>
      </w:r>
    </w:p>
    <w:p w14:paraId="4712E7F3" w14:textId="77777777" w:rsidR="00285499" w:rsidRPr="006C3AD2" w:rsidRDefault="00285499" w:rsidP="00B61D53">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3B592FDE" w14:textId="77777777" w:rsidR="00285499" w:rsidRPr="00E64FF7" w:rsidRDefault="00285499" w:rsidP="00B61D53">
      <w:pPr>
        <w:pStyle w:val="Akapitzlist"/>
        <w:numPr>
          <w:ilvl w:val="0"/>
          <w:numId w:val="50"/>
        </w:numPr>
        <w:jc w:val="both"/>
      </w:pPr>
      <w:r w:rsidRPr="00E64FF7">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p>
    <w:p w14:paraId="678E2246" w14:textId="77777777" w:rsidR="00285499" w:rsidRPr="00E64FF7" w:rsidRDefault="00285499" w:rsidP="00B61D53">
      <w:pPr>
        <w:pStyle w:val="Akapitzlist"/>
        <w:numPr>
          <w:ilvl w:val="0"/>
          <w:numId w:val="50"/>
        </w:numPr>
        <w:jc w:val="both"/>
      </w:pPr>
      <w:r w:rsidRPr="00E64FF7">
        <w:t xml:space="preserve">W przypadku zawieszenia działalności Bazy Konkurencyjności (BK2021) </w:t>
      </w:r>
      <w:hyperlink r:id="rId10" w:history="1">
        <w:r w:rsidRPr="004D3F59">
          <w:rPr>
            <w:rStyle w:val="Hipercze"/>
          </w:rPr>
          <w:t>https://bazakonkurencyjnosci.funduszeeuropejskie.gov.pl/</w:t>
        </w:r>
      </w:hyperlink>
      <w:r>
        <w:t xml:space="preserve"> </w:t>
      </w:r>
      <w:r w:rsidRPr="00E64FF7">
        <w:t xml:space="preserve">potwierdzonego odpowiednim komunikatem w Bazie Konkurencyjności Beneficjent zobowiązany jest do skierowania </w:t>
      </w:r>
      <w:r w:rsidRPr="00E64FF7">
        <w:lastRenderedPageBreak/>
        <w:t xml:space="preserve">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r:id="rId11" w:history="1">
        <w:r w:rsidRPr="004D3F59">
          <w:rPr>
            <w:rStyle w:val="Hipercze"/>
          </w:rPr>
          <w:t>https://bazakonkurencyjnosci.funduszeeuropejskie.gov.pl/</w:t>
        </w:r>
      </w:hyperlink>
      <w:r>
        <w:t xml:space="preserve"> </w:t>
      </w:r>
      <w:r w:rsidRPr="00E64FF7">
        <w:t xml:space="preserve">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52C5D456" w14:textId="77777777" w:rsidR="00285499" w:rsidRPr="00E64FF7" w:rsidRDefault="00285499" w:rsidP="00B61D53">
      <w:pPr>
        <w:pStyle w:val="Akapitzlist"/>
        <w:numPr>
          <w:ilvl w:val="0"/>
          <w:numId w:val="50"/>
        </w:numPr>
        <w:jc w:val="both"/>
      </w:pPr>
      <w:r w:rsidRPr="00E64FF7">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p>
    <w:p w14:paraId="0A6FB938" w14:textId="77777777" w:rsidR="00285499" w:rsidRPr="006C3AD2" w:rsidRDefault="00285499" w:rsidP="00B61D53">
      <w:pPr>
        <w:numPr>
          <w:ilvl w:val="0"/>
          <w:numId w:val="50"/>
        </w:numPr>
        <w:suppressAutoHyphens/>
        <w:ind w:left="357" w:hanging="357"/>
        <w:jc w:val="both"/>
      </w:pPr>
      <w:r w:rsidRPr="006C3AD2">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6C3AD2">
        <w:rPr>
          <w:rFonts w:cs="Arial"/>
        </w:rPr>
        <w:br/>
        <w:t>w dziedzinie udzielania zamówień, które nie są lub są jedynie częściowo objęte dyrektywami w sprawie zamówień publicznych (Dz. Urz. UE C 179 z 01.08.2006, str. 2), ustawa z dnia 27 sierpnia 2009 r. o finansach publicznych</w:t>
      </w:r>
      <w:r>
        <w:rPr>
          <w:rFonts w:cs="Arial"/>
        </w:rPr>
        <w:t xml:space="preserve"> </w:t>
      </w:r>
      <w:r w:rsidRPr="00A556CC">
        <w:rPr>
          <w:rFonts w:cs="Arial"/>
        </w:rPr>
        <w:t>(Dz. U. z 2024 r.</w:t>
      </w:r>
      <w:r>
        <w:rPr>
          <w:rFonts w:cs="Arial"/>
        </w:rPr>
        <w:t xml:space="preserve"> </w:t>
      </w:r>
      <w:r w:rsidRPr="00A556CC">
        <w:rPr>
          <w:rFonts w:cs="Arial"/>
        </w:rPr>
        <w:t>poz. 1530</w:t>
      </w:r>
      <w:r>
        <w:rPr>
          <w:rFonts w:cs="Arial"/>
        </w:rPr>
        <w:t xml:space="preserve"> </w:t>
      </w:r>
      <w:r>
        <w:rPr>
          <w:rFonts w:cs="Arial"/>
        </w:rPr>
        <w:br/>
        <w:t>z późń. zm.)</w:t>
      </w:r>
      <w:r w:rsidRPr="006C3AD2">
        <w:rPr>
          <w:rFonts w:cs="Arial"/>
        </w:rPr>
        <w:t>, ustawa z dnia 17 grudnia 2004 r. o odpowiedzialności za naruszenie dyscypliny finansów publicznych (Dz. U. z 2024 r. poz. 104</w:t>
      </w:r>
      <w:r>
        <w:rPr>
          <w:rFonts w:cs="Arial"/>
        </w:rPr>
        <w:t xml:space="preserve"> z późń. zm.</w:t>
      </w:r>
      <w:r w:rsidRPr="006C3AD2">
        <w:rPr>
          <w:rFonts w:cs="Arial"/>
        </w:rPr>
        <w:t>).</w:t>
      </w:r>
    </w:p>
    <w:p w14:paraId="7B2141E0"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Pr="006C3AD2">
        <w:rPr>
          <w:rFonts w:cs="Arial"/>
        </w:rPr>
        <w:br/>
        <w:t xml:space="preserve">z Wytycznymi dotyczącymi kwalifikowalności wydatków na lata 2021-2027. </w:t>
      </w:r>
    </w:p>
    <w:p w14:paraId="45E938D8"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1F3683B9"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09680E1A"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77F1B044"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t xml:space="preserve">w systemie CST2021.  </w:t>
      </w:r>
    </w:p>
    <w:p w14:paraId="0E042315"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 xml:space="preserve">W przypadku, gdy Beneficjent zawarł Umowę o dofinansowanie z Instytucją Zarządzającą zobowiązany jest przekazać do Instytucji Zarządzającej dokumentację dotyczącą postępowania o udzielenie zamówienia publicznego przeprowadzonego zgodnie z ustawą </w:t>
      </w:r>
      <w:r w:rsidRPr="006C3AD2">
        <w:rPr>
          <w:rFonts w:cs="Arial"/>
        </w:rPr>
        <w:lastRenderedPageBreak/>
        <w:t>Prawo zamówień publicznych za pośrednictwem systemu CST2021, nie później niż w ciągu 7 dni od dnia zawarcia umowy w ramach danego postępowania. Wyjątek stanowią Beneficjenci, o których mowa w ust. 6 i 7.</w:t>
      </w:r>
    </w:p>
    <w:p w14:paraId="4FC29234"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t>.</w:t>
      </w:r>
    </w:p>
    <w:p w14:paraId="766FA9DB"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złożone oferty i protokół z postępowania wraz </w:t>
      </w:r>
      <w:r w:rsidRPr="006C3AD2">
        <w:rPr>
          <w:rFonts w:cs="Arial"/>
        </w:rPr>
        <w:br/>
        <w:t>z załącznikami i Specyfikację Warunków Zamówienia, umowę zawartą z wykonawcą oraz aneksy i porozumienia zmieniające treść zawartej umowy po rozstrzygnięciu postępowania.</w:t>
      </w:r>
    </w:p>
    <w:p w14:paraId="34D43603" w14:textId="77777777" w:rsidR="00285499" w:rsidRPr="006C3AD2" w:rsidRDefault="00285499" w:rsidP="00B61D53">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4C28E9E1" w14:textId="77777777" w:rsidR="00285499" w:rsidRPr="006C3AD2" w:rsidRDefault="00285499" w:rsidP="00B61D53">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58A13FF1" w14:textId="77777777" w:rsidR="00285499" w:rsidRPr="006C3AD2" w:rsidRDefault="00285499" w:rsidP="00B61D53">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3D1EED46" w14:textId="77777777" w:rsidR="00285499" w:rsidRPr="006C3AD2" w:rsidRDefault="00285499" w:rsidP="00B61D53">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zastosować korekty finansowe. Stawki procentowe korekt finansowych i pomniejszeń dla poszczególnych nieprawidłowości w zakresie zamówień publicznych zostały ujęte </w:t>
      </w:r>
      <w:r w:rsidRPr="006C3AD2">
        <w:br/>
        <w:t>w Wytycznych dotyczących sposobu korygowania nieprawidłowości na lata 2021-2027.</w:t>
      </w:r>
    </w:p>
    <w:p w14:paraId="29948E09" w14:textId="71534EE3" w:rsidR="00285499" w:rsidRPr="00020425" w:rsidRDefault="00285499" w:rsidP="00020425">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Pr="006C3AD2">
        <w:rPr>
          <w:rFonts w:cs="Arial"/>
        </w:rPr>
        <w:br/>
        <w:t xml:space="preserve">w zakresie tej jego części, za realizację której jest odpowiedzialny zgodnie </w:t>
      </w:r>
      <w:r w:rsidRPr="006C3AD2">
        <w:rPr>
          <w:rFonts w:cs="Arial"/>
        </w:rPr>
        <w:br/>
        <w:t>z porozumieniem albo umową o partnerstwie zawartą z Beneficjentem.</w:t>
      </w:r>
    </w:p>
    <w:p w14:paraId="03CB79A3" w14:textId="18C2A365" w:rsidR="000F15CE" w:rsidRPr="006C3AD2" w:rsidRDefault="00820B40" w:rsidP="00E550E9">
      <w:pPr>
        <w:pStyle w:val="UoDNag1"/>
        <w:rPr>
          <w:lang w:val="pl-PL"/>
        </w:rPr>
      </w:pPr>
      <w:bookmarkStart w:id="14" w:name="_Hlk134777338"/>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48"/>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lastRenderedPageBreak/>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EE0F94">
      <w:pPr>
        <w:pStyle w:val="Akapitzlist"/>
        <w:numPr>
          <w:ilvl w:val="0"/>
          <w:numId w:val="74"/>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EE0F94">
      <w:pPr>
        <w:pStyle w:val="Akapitzlist"/>
        <w:numPr>
          <w:ilvl w:val="0"/>
          <w:numId w:val="74"/>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EE0F94">
      <w:pPr>
        <w:pStyle w:val="Akapitzlist"/>
        <w:numPr>
          <w:ilvl w:val="0"/>
          <w:numId w:val="74"/>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EE0F94">
      <w:pPr>
        <w:pStyle w:val="Akapitzlist"/>
        <w:numPr>
          <w:ilvl w:val="0"/>
          <w:numId w:val="74"/>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lastRenderedPageBreak/>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EE0F94">
      <w:pPr>
        <w:pStyle w:val="Akapitzlist"/>
        <w:numPr>
          <w:ilvl w:val="0"/>
          <w:numId w:val="66"/>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EE0F94">
      <w:pPr>
        <w:pStyle w:val="Akapitzlist"/>
        <w:numPr>
          <w:ilvl w:val="0"/>
          <w:numId w:val="66"/>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EE0F94">
      <w:pPr>
        <w:pStyle w:val="Akapitzlist"/>
        <w:numPr>
          <w:ilvl w:val="0"/>
          <w:numId w:val="66"/>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EE0F94">
      <w:pPr>
        <w:pStyle w:val="Akapitzlist"/>
        <w:numPr>
          <w:ilvl w:val="0"/>
          <w:numId w:val="66"/>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EE0F94">
      <w:pPr>
        <w:pStyle w:val="pktpunkt"/>
        <w:numPr>
          <w:ilvl w:val="0"/>
          <w:numId w:val="66"/>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lastRenderedPageBreak/>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EE0F94">
      <w:pPr>
        <w:pStyle w:val="pktpunkt"/>
        <w:numPr>
          <w:ilvl w:val="0"/>
          <w:numId w:val="67"/>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EE0F94">
      <w:pPr>
        <w:pStyle w:val="Akapitzlist"/>
        <w:numPr>
          <w:ilvl w:val="0"/>
          <w:numId w:val="67"/>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EE0F94">
      <w:pPr>
        <w:pStyle w:val="Akapitzlist"/>
        <w:numPr>
          <w:ilvl w:val="0"/>
          <w:numId w:val="67"/>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EE0F94">
      <w:pPr>
        <w:pStyle w:val="Akapitzlist"/>
        <w:numPr>
          <w:ilvl w:val="0"/>
          <w:numId w:val="67"/>
        </w:numPr>
        <w:autoSpaceDE w:val="0"/>
        <w:autoSpaceDN w:val="0"/>
        <w:adjustRightInd w:val="0"/>
        <w:jc w:val="both"/>
        <w:rPr>
          <w:color w:val="000000"/>
        </w:rPr>
      </w:pPr>
      <w:r w:rsidRPr="006C3AD2">
        <w:rPr>
          <w:color w:val="000000"/>
        </w:rPr>
        <w:t xml:space="preserve">Stwierdzenie wystąpienia nieprawidłowości będzie skutkowało – w zależności od chwili stwierdzenia nieprawidłowości - pomniejszeniem wartości wydatków kwalifikowalnych </w:t>
      </w:r>
      <w:r w:rsidRPr="006C3AD2">
        <w:rPr>
          <w:color w:val="000000"/>
        </w:rPr>
        <w:lastRenderedPageBreak/>
        <w:t>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49"/>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lastRenderedPageBreak/>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EE0F94">
      <w:pPr>
        <w:pStyle w:val="Akapitzlist"/>
        <w:numPr>
          <w:ilvl w:val="0"/>
          <w:numId w:val="75"/>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EE0F94">
      <w:pPr>
        <w:pStyle w:val="Akapitzlist"/>
        <w:numPr>
          <w:ilvl w:val="0"/>
          <w:numId w:val="75"/>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EE0F94">
      <w:pPr>
        <w:pStyle w:val="Akapitzlist"/>
        <w:numPr>
          <w:ilvl w:val="0"/>
          <w:numId w:val="75"/>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0"/>
      </w:r>
      <w:r w:rsidRPr="006C3AD2">
        <w:rPr>
          <w:bCs/>
        </w:rPr>
        <w:t xml:space="preserve"> lub inwestycji produkcyjnych.</w:t>
      </w:r>
    </w:p>
    <w:p w14:paraId="3E046573" w14:textId="45179A94" w:rsidR="0075661C" w:rsidRPr="006C3AD2" w:rsidRDefault="00904D95" w:rsidP="00EE0F94">
      <w:pPr>
        <w:pStyle w:val="Akapitzlist"/>
        <w:numPr>
          <w:ilvl w:val="0"/>
          <w:numId w:val="75"/>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EE0F94">
      <w:pPr>
        <w:pStyle w:val="Akapitzlist"/>
        <w:numPr>
          <w:ilvl w:val="0"/>
          <w:numId w:val="75"/>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EE0F94">
      <w:pPr>
        <w:pStyle w:val="Akapitzlist"/>
        <w:numPr>
          <w:ilvl w:val="0"/>
          <w:numId w:val="75"/>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EE0F94">
      <w:pPr>
        <w:pStyle w:val="Akapitzlist"/>
        <w:numPr>
          <w:ilvl w:val="0"/>
          <w:numId w:val="75"/>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EE0F94">
      <w:pPr>
        <w:pStyle w:val="Akapitzlist"/>
        <w:numPr>
          <w:ilvl w:val="0"/>
          <w:numId w:val="75"/>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rojektu nie została zachowana. Zwrot następuje w trybie określonym w art. 207 ufp.</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lastRenderedPageBreak/>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1"/>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2"/>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umieszczania w widoczny sposób znaku Funduszy Europejskich, znaku barw Rzeczypospolitej Polskiej (jeśli dotyczy wersja pełnokolorowa)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3"/>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lastRenderedPageBreak/>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4"/>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5"/>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6"/>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7"/>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66C68979"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6569F8">
        <w:rPr>
          <w:bCs/>
          <w:color w:val="000000" w:themeColor="text1"/>
        </w:rPr>
        <w:t xml:space="preserve">, 3, 4, </w:t>
      </w:r>
      <w:r w:rsidRPr="006C3AD2">
        <w:rPr>
          <w:bCs/>
          <w:color w:val="000000" w:themeColor="text1"/>
        </w:rPr>
        <w:t>5</w:t>
      </w:r>
      <w:r w:rsidRPr="006C3AD2">
        <w:rPr>
          <w:bCs/>
          <w:color w:val="000000" w:themeColor="text1"/>
          <w:vertAlign w:val="superscript"/>
        </w:rPr>
        <w:footnoteReference w:id="58"/>
      </w:r>
      <w:r w:rsidRPr="006C3AD2">
        <w:rPr>
          <w:bCs/>
          <w:color w:val="000000" w:themeColor="text1"/>
        </w:rPr>
        <w:t xml:space="preserve">, IZ wzywa Beneficjenta do podjęcia działań </w:t>
      </w:r>
      <w:r w:rsidRPr="006C3AD2">
        <w:rPr>
          <w:bCs/>
          <w:color w:val="000000" w:themeColor="text1"/>
        </w:rPr>
        <w:lastRenderedPageBreak/>
        <w:t xml:space="preserve">zaradczych w terminie i na warunkach określonych w wezwaniu. W przypadku braku wykonania przez Beneficjenta działań zaradczych, o których mowa w wezwaniu, IZ pomniejsza maksymalną kwotę dofinansowania o której mowa w § 2 ust. 4 Umowy o wartość nie większą niż 3%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59"/>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lastRenderedPageBreak/>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0"/>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 xml:space="preserve">operacji, w tym danych dotyczących poszczególnych uczestników operacji oraz wykazu danych odnoszących się do wskaźników, które są niezbędne do monitorowania, ewaluacji, </w:t>
      </w:r>
      <w:r w:rsidRPr="006C3AD2">
        <w:rPr>
          <w:rFonts w:eastAsiaTheme="minorEastAsia" w:cstheme="minorHAnsi"/>
          <w:color w:val="000000" w:themeColor="text1"/>
        </w:rPr>
        <w:lastRenderedPageBreak/>
        <w:t>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EE0F94">
      <w:pPr>
        <w:numPr>
          <w:ilvl w:val="0"/>
          <w:numId w:val="62"/>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EE0F94">
      <w:pPr>
        <w:numPr>
          <w:ilvl w:val="0"/>
          <w:numId w:val="62"/>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EE0F94">
      <w:pPr>
        <w:numPr>
          <w:ilvl w:val="0"/>
          <w:numId w:val="62"/>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EE0F94">
      <w:pPr>
        <w:numPr>
          <w:ilvl w:val="0"/>
          <w:numId w:val="62"/>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EE0F94">
      <w:pPr>
        <w:numPr>
          <w:ilvl w:val="0"/>
          <w:numId w:val="62"/>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EE0F94">
      <w:pPr>
        <w:numPr>
          <w:ilvl w:val="0"/>
          <w:numId w:val="62"/>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 xml:space="preserve">eneficjent </w:t>
      </w:r>
      <w:r w:rsidRPr="006C3AD2">
        <w:rPr>
          <w:rFonts w:eastAsia="Arial" w:cstheme="minorHAnsi"/>
          <w:color w:val="000000" w:themeColor="text1"/>
        </w:rPr>
        <w:lastRenderedPageBreak/>
        <w:t>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EE0F94">
      <w:pPr>
        <w:pStyle w:val="Tekstpodstawowy"/>
        <w:numPr>
          <w:ilvl w:val="0"/>
          <w:numId w:val="69"/>
        </w:numPr>
      </w:pPr>
      <w:r w:rsidRPr="006C3AD2">
        <w:t xml:space="preserve">rozszerzeniu, </w:t>
      </w:r>
    </w:p>
    <w:p w14:paraId="35AF64D6" w14:textId="2D822826" w:rsidR="007B6288" w:rsidRPr="006C3AD2" w:rsidRDefault="007B6288" w:rsidP="00EE0F94">
      <w:pPr>
        <w:pStyle w:val="Tekstpodstawowy"/>
        <w:numPr>
          <w:ilvl w:val="0"/>
          <w:numId w:val="69"/>
        </w:numPr>
      </w:pPr>
      <w:r w:rsidRPr="006C3AD2">
        <w:t>ograniczeniu,</w:t>
      </w:r>
    </w:p>
    <w:p w14:paraId="5B51BD37" w14:textId="1F5DC248" w:rsidR="007B6288" w:rsidRPr="006C3AD2" w:rsidRDefault="007B6288" w:rsidP="00EE0F94">
      <w:pPr>
        <w:pStyle w:val="Tekstpodstawowy"/>
        <w:numPr>
          <w:ilvl w:val="0"/>
          <w:numId w:val="69"/>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EE0F94">
      <w:pPr>
        <w:pStyle w:val="Tekstpodstawowy"/>
        <w:numPr>
          <w:ilvl w:val="0"/>
          <w:numId w:val="70"/>
        </w:numPr>
      </w:pPr>
      <w:r w:rsidRPr="006C3AD2">
        <w:t>przesunięć kwot między kategoriami/zadaniami określonymi we wniosku,</w:t>
      </w:r>
    </w:p>
    <w:p w14:paraId="27C6F3D9" w14:textId="2876ABB7" w:rsidR="007B6288" w:rsidRPr="006C3AD2" w:rsidRDefault="007B6288" w:rsidP="00EE0F94">
      <w:pPr>
        <w:pStyle w:val="Tekstpodstawowy"/>
        <w:numPr>
          <w:ilvl w:val="0"/>
          <w:numId w:val="70"/>
        </w:numPr>
      </w:pPr>
      <w:r w:rsidRPr="006C3AD2">
        <w:lastRenderedPageBreak/>
        <w:t>zmian wartości kosztów całkowitych, kwalifikowalnych i niekwalifikowalnych, jak również wartości dofinansowania,</w:t>
      </w:r>
    </w:p>
    <w:p w14:paraId="2C6EF4E8" w14:textId="6708C94C" w:rsidR="007B6288" w:rsidRPr="006C3AD2" w:rsidRDefault="007B6288" w:rsidP="00EE0F94">
      <w:pPr>
        <w:pStyle w:val="Tekstpodstawowy"/>
        <w:numPr>
          <w:ilvl w:val="0"/>
          <w:numId w:val="70"/>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EE0F94">
      <w:pPr>
        <w:pStyle w:val="Tekstpodstawowy"/>
        <w:numPr>
          <w:ilvl w:val="0"/>
          <w:numId w:val="63"/>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EE0F94">
      <w:pPr>
        <w:pStyle w:val="Tekstpodstawowy"/>
        <w:numPr>
          <w:ilvl w:val="0"/>
          <w:numId w:val="63"/>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EE0F94">
      <w:pPr>
        <w:pStyle w:val="Tekstpodstawowy"/>
        <w:numPr>
          <w:ilvl w:val="0"/>
          <w:numId w:val="63"/>
        </w:numPr>
        <w:ind w:left="426" w:hanging="426"/>
        <w:rPr>
          <w:lang w:val="pl-PL"/>
        </w:rPr>
      </w:pPr>
      <w:r w:rsidRPr="006C3AD2">
        <w:rPr>
          <w:lang w:val="pl-PL"/>
        </w:rPr>
        <w:lastRenderedPageBreak/>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EE0F94">
      <w:pPr>
        <w:pStyle w:val="Tekstpodstawowy"/>
        <w:numPr>
          <w:ilvl w:val="0"/>
          <w:numId w:val="63"/>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1"/>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2"/>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lastRenderedPageBreak/>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64A20299" w14:textId="77777777" w:rsidR="00D022EE" w:rsidRPr="00364BAF" w:rsidRDefault="00D022EE" w:rsidP="00D022EE">
      <w:pPr>
        <w:numPr>
          <w:ilvl w:val="3"/>
          <w:numId w:val="23"/>
        </w:numPr>
        <w:tabs>
          <w:tab w:val="num" w:pos="720"/>
        </w:tabs>
        <w:ind w:left="714" w:hanging="357"/>
        <w:jc w:val="both"/>
        <w:rPr>
          <w:bCs/>
        </w:rPr>
      </w:pPr>
      <w:r w:rsidRPr="00364BAF">
        <w:t>właściwe akty prawa krajowego oraz prawa unijnego, w szczególności 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(t.j. Dz. U. z 202</w:t>
      </w:r>
      <w:r>
        <w:t>4</w:t>
      </w:r>
      <w:r w:rsidRPr="00364BAF">
        <w:t xml:space="preserve"> r., poz. 1</w:t>
      </w:r>
      <w:r>
        <w:t>061</w:t>
      </w:r>
      <w:r w:rsidRPr="00364BAF">
        <w:t xml:space="preserve"> z późn. zm.), ustawa z dnia 27 sierpnia 2009 r. o finansach publicznych (t.j. Dz. U. z 202</w:t>
      </w:r>
      <w:r>
        <w:t>4</w:t>
      </w:r>
      <w:r w:rsidRPr="00364BAF">
        <w:t xml:space="preserve"> r., poz. </w:t>
      </w:r>
      <w:r>
        <w:t>1530 z późn. zm.</w:t>
      </w:r>
      <w:r w:rsidRPr="00364BAF">
        <w:t xml:space="preserve">), ustawa z dnia 29 września 1994 r. o rachunkowości (t.j. Dz. U. z 2023 r. poz. 120 z późn. zm.), ustawa z dnia 11 września 2019 r. Prawo zamówień publicznych </w:t>
      </w:r>
      <w:r w:rsidRPr="00364BAF">
        <w:rPr>
          <w:iCs/>
        </w:rPr>
        <w:t>(Dz. U. z 202</w:t>
      </w:r>
      <w:r>
        <w:rPr>
          <w:iCs/>
        </w:rPr>
        <w:t>4</w:t>
      </w:r>
      <w:r w:rsidRPr="00364BAF">
        <w:rPr>
          <w:iCs/>
        </w:rPr>
        <w:t xml:space="preserve"> r., poz. </w:t>
      </w:r>
      <w:r>
        <w:rPr>
          <w:iCs/>
        </w:rPr>
        <w:t>1320</w:t>
      </w:r>
      <w:r w:rsidRPr="00364BAF">
        <w:rPr>
          <w:iCs/>
        </w:rPr>
        <w:t xml:space="preserve">), ustawa z dnia 30 kwietnia 2004 r. o postępowaniu w sprawach dotyczących pomocy publicznej (t.j. Dz. U. z 2023 r., poz. 702), ustawa z dnia 27 kwietnia 2001 r. Prawo Ochrony Środowiska (t.j. Dz. U. z 2024 r., poz. 54 z późn. zm.), ustawa z dnia 11 marca 2004 r. o podatku od towarów i usług (t.j. </w:t>
      </w:r>
      <w:r w:rsidRPr="00364BAF">
        <w:t>Dz. U. z 2024 r., poz. 361 z późn. zm.</w:t>
      </w:r>
      <w:r w:rsidRPr="00364BAF">
        <w:rPr>
          <w:iCs/>
        </w:rPr>
        <w:t xml:space="preserve">) oraz rozporządzenia wykonawcze lub wytyczne do nich; </w:t>
      </w:r>
    </w:p>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lastRenderedPageBreak/>
        <w:t xml:space="preserve">odpowiednie reguły, zasady i postanowienia wynikające z </w:t>
      </w:r>
      <w:r w:rsidR="00FE40FF" w:rsidRPr="006C3AD2">
        <w:rPr>
          <w:bCs/>
        </w:rPr>
        <w:t>FEŚ 2021-2027</w:t>
      </w:r>
      <w:r w:rsidRPr="006C3AD2">
        <w:rPr>
          <w:bCs/>
        </w:rPr>
        <w:t>, SzOP,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3"/>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886C12" w:rsidRDefault="0008643D" w:rsidP="000C42D5">
            <w:pPr>
              <w:pStyle w:val="Pisma"/>
              <w:tabs>
                <w:tab w:val="num" w:pos="-2160"/>
              </w:tabs>
              <w:autoSpaceDE/>
              <w:autoSpaceDN/>
              <w:jc w:val="left"/>
              <w:rPr>
                <w:strike/>
                <w:sz w:val="24"/>
              </w:rPr>
            </w:pPr>
            <w:r w:rsidRPr="00886C12">
              <w:rPr>
                <w:strike/>
                <w:sz w:val="24"/>
              </w:rPr>
              <w:t>Zał. nr 5</w:t>
            </w:r>
          </w:p>
        </w:tc>
        <w:tc>
          <w:tcPr>
            <w:tcW w:w="7791" w:type="dxa"/>
          </w:tcPr>
          <w:p w14:paraId="35E01B29" w14:textId="48C9CB87" w:rsidR="0008643D" w:rsidRPr="00886C12" w:rsidRDefault="0008643D" w:rsidP="0008643D">
            <w:pPr>
              <w:pStyle w:val="Pisma"/>
              <w:tabs>
                <w:tab w:val="num" w:pos="-2160"/>
              </w:tabs>
              <w:autoSpaceDE/>
              <w:autoSpaceDN/>
              <w:rPr>
                <w:strike/>
                <w:sz w:val="24"/>
              </w:rPr>
            </w:pPr>
            <w:r w:rsidRPr="00886C12">
              <w:rPr>
                <w:strike/>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lastRenderedPageBreak/>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EB1C34" w:rsidRPr="006C3AD2" w14:paraId="0A710567" w14:textId="77777777" w:rsidTr="0008643D">
        <w:tc>
          <w:tcPr>
            <w:tcW w:w="1271" w:type="dxa"/>
          </w:tcPr>
          <w:p w14:paraId="36489FC1" w14:textId="77777777" w:rsidR="00EB1C34" w:rsidRPr="006C3AD2" w:rsidRDefault="00EB1C34" w:rsidP="0008643D">
            <w:pPr>
              <w:pStyle w:val="Pisma"/>
              <w:tabs>
                <w:tab w:val="num" w:pos="-2160"/>
              </w:tabs>
              <w:autoSpaceDE/>
              <w:autoSpaceDN/>
              <w:jc w:val="left"/>
              <w:rPr>
                <w:sz w:val="24"/>
              </w:rPr>
            </w:pPr>
          </w:p>
        </w:tc>
        <w:tc>
          <w:tcPr>
            <w:tcW w:w="7791" w:type="dxa"/>
          </w:tcPr>
          <w:p w14:paraId="1B258BCD" w14:textId="77777777" w:rsidR="00EB1C34" w:rsidRPr="006C3AD2" w:rsidRDefault="00EB1C34" w:rsidP="0008643D">
            <w:pPr>
              <w:pStyle w:val="Pisma"/>
              <w:tabs>
                <w:tab w:val="num" w:pos="-2160"/>
              </w:tabs>
              <w:autoSpaceDE/>
              <w:autoSpaceDN/>
              <w:rPr>
                <w:sz w:val="24"/>
              </w:rPr>
            </w:pP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886C12" w:rsidRDefault="0008643D" w:rsidP="0008643D">
            <w:pPr>
              <w:pStyle w:val="Pisma"/>
              <w:tabs>
                <w:tab w:val="num" w:pos="-2160"/>
              </w:tabs>
              <w:autoSpaceDE/>
              <w:autoSpaceDN/>
              <w:jc w:val="left"/>
              <w:rPr>
                <w:strike/>
                <w:sz w:val="24"/>
              </w:rPr>
            </w:pPr>
            <w:r w:rsidRPr="00886C12">
              <w:rPr>
                <w:strike/>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886C12">
              <w:rPr>
                <w:strike/>
                <w:sz w:val="24"/>
              </w:rPr>
              <w:t>Mechanizm monitorowania i wycofania infrastruktury wytworzonej /zakupionej ze środków publicznych</w:t>
            </w:r>
            <w:r w:rsidRPr="006C3AD2">
              <w:rPr>
                <w:sz w:val="24"/>
              </w:rPr>
              <w:t>;</w:t>
            </w:r>
          </w:p>
        </w:tc>
      </w:tr>
      <w:tr w:rsidR="0008643D" w:rsidRPr="006C3AD2" w14:paraId="27E55E13" w14:textId="77777777" w:rsidTr="00EB1C34">
        <w:trPr>
          <w:trHeight w:val="745"/>
        </w:trPr>
        <w:tc>
          <w:tcPr>
            <w:tcW w:w="1271" w:type="dxa"/>
          </w:tcPr>
          <w:p w14:paraId="2829C7DA" w14:textId="77777777" w:rsidR="0008643D" w:rsidRPr="00886C12" w:rsidRDefault="0008643D" w:rsidP="0008643D">
            <w:pPr>
              <w:pStyle w:val="Pisma"/>
              <w:tabs>
                <w:tab w:val="num" w:pos="-2160"/>
              </w:tabs>
              <w:autoSpaceDE/>
              <w:autoSpaceDN/>
              <w:jc w:val="left"/>
              <w:rPr>
                <w:strike/>
                <w:sz w:val="24"/>
              </w:rPr>
            </w:pPr>
            <w:r w:rsidRPr="00886C12">
              <w:rPr>
                <w:strike/>
                <w:sz w:val="24"/>
              </w:rPr>
              <w:t>Zał. nr 13</w:t>
            </w:r>
          </w:p>
          <w:p w14:paraId="13955765" w14:textId="77777777" w:rsidR="00EB1C34" w:rsidRPr="00886C12" w:rsidRDefault="00EB1C34" w:rsidP="0008643D">
            <w:pPr>
              <w:pStyle w:val="Pisma"/>
              <w:tabs>
                <w:tab w:val="num" w:pos="-2160"/>
              </w:tabs>
              <w:autoSpaceDE/>
              <w:autoSpaceDN/>
              <w:jc w:val="left"/>
              <w:rPr>
                <w:sz w:val="24"/>
              </w:rPr>
            </w:pPr>
          </w:p>
          <w:p w14:paraId="2402672B" w14:textId="77777777" w:rsidR="00EB1C34" w:rsidRPr="00886C12" w:rsidRDefault="00EB1C34" w:rsidP="0008643D">
            <w:pPr>
              <w:pStyle w:val="Pisma"/>
              <w:tabs>
                <w:tab w:val="num" w:pos="-2160"/>
              </w:tabs>
              <w:autoSpaceDE/>
              <w:autoSpaceDN/>
              <w:jc w:val="left"/>
              <w:rPr>
                <w:sz w:val="24"/>
              </w:rPr>
            </w:pPr>
          </w:p>
          <w:p w14:paraId="7D610500" w14:textId="0CBD171A" w:rsidR="00EB1C34" w:rsidRPr="00886C12" w:rsidRDefault="00EB1C34" w:rsidP="0008643D">
            <w:pPr>
              <w:pStyle w:val="Pisma"/>
              <w:tabs>
                <w:tab w:val="num" w:pos="-2160"/>
              </w:tabs>
              <w:autoSpaceDE/>
              <w:autoSpaceDN/>
              <w:jc w:val="left"/>
              <w:rPr>
                <w:sz w:val="24"/>
              </w:rPr>
            </w:pPr>
            <w:r w:rsidRPr="00886C12">
              <w:rPr>
                <w:sz w:val="24"/>
              </w:rPr>
              <w:t>Zał. nr 14</w:t>
            </w:r>
          </w:p>
        </w:tc>
        <w:tc>
          <w:tcPr>
            <w:tcW w:w="7791" w:type="dxa"/>
          </w:tcPr>
          <w:p w14:paraId="405BB6EB" w14:textId="77777777" w:rsidR="0008643D" w:rsidRPr="00886C12" w:rsidRDefault="0008643D" w:rsidP="0008643D">
            <w:pPr>
              <w:pStyle w:val="Pisma"/>
              <w:tabs>
                <w:tab w:val="num" w:pos="-2160"/>
              </w:tabs>
              <w:autoSpaceDE/>
              <w:autoSpaceDN/>
              <w:rPr>
                <w:strike/>
                <w:sz w:val="24"/>
              </w:rPr>
            </w:pPr>
            <w:r w:rsidRPr="00886C12">
              <w:rPr>
                <w:strike/>
                <w:sz w:val="24"/>
              </w:rPr>
              <w:t xml:space="preserve">Regulamin wykorzystania infrastruktury wytworzonej/zakupionej </w:t>
            </w:r>
            <w:r w:rsidRPr="00886C12">
              <w:rPr>
                <w:strike/>
                <w:sz w:val="24"/>
              </w:rPr>
              <w:br/>
              <w:t>w ramach dofinansowania – dokument własny Beneficjenta</w:t>
            </w:r>
          </w:p>
          <w:p w14:paraId="1EC46D25" w14:textId="77777777" w:rsidR="00EB1C34" w:rsidRPr="00886C12" w:rsidRDefault="00EB1C34" w:rsidP="0008643D">
            <w:pPr>
              <w:pStyle w:val="Pisma"/>
              <w:tabs>
                <w:tab w:val="num" w:pos="-2160"/>
              </w:tabs>
              <w:autoSpaceDE/>
              <w:autoSpaceDN/>
              <w:rPr>
                <w:sz w:val="24"/>
              </w:rPr>
            </w:pPr>
          </w:p>
          <w:p w14:paraId="322B58F7" w14:textId="5EA2444C" w:rsidR="00EB1C34" w:rsidRPr="00886C12" w:rsidRDefault="00EB1C34" w:rsidP="0008643D">
            <w:pPr>
              <w:pStyle w:val="Pisma"/>
              <w:tabs>
                <w:tab w:val="num" w:pos="-2160"/>
              </w:tabs>
              <w:autoSpaceDE/>
              <w:autoSpaceDN/>
              <w:rPr>
                <w:sz w:val="24"/>
              </w:rPr>
            </w:pPr>
            <w:r w:rsidRPr="00886C12">
              <w:rPr>
                <w:sz w:val="24"/>
              </w:rPr>
              <w:t xml:space="preserve">Karta </w:t>
            </w:r>
            <w:r w:rsidR="00DA0FE8" w:rsidRPr="00886C12">
              <w:rPr>
                <w:sz w:val="24"/>
              </w:rPr>
              <w:t>czasu pracy na rzecz Projektu</w:t>
            </w:r>
            <w:r w:rsidR="00AA0FBE" w:rsidRPr="00886C12">
              <w:rPr>
                <w:sz w:val="24"/>
              </w:rPr>
              <w:t xml:space="preserve"> </w:t>
            </w:r>
          </w:p>
          <w:p w14:paraId="0E09C55E" w14:textId="06D3A31D" w:rsidR="00EB1C34" w:rsidRPr="00886C12" w:rsidRDefault="00EB1C34" w:rsidP="0008643D">
            <w:pPr>
              <w:pStyle w:val="Pisma"/>
              <w:tabs>
                <w:tab w:val="num" w:pos="-2160"/>
              </w:tabs>
              <w:autoSpaceDE/>
              <w:autoSpaceDN/>
              <w:rPr>
                <w:sz w:val="24"/>
              </w:rPr>
            </w:pPr>
          </w:p>
        </w:tc>
      </w:tr>
      <w:tr w:rsidR="00EB1C34" w:rsidRPr="006C3AD2" w14:paraId="0B10C25A" w14:textId="77777777" w:rsidTr="0008643D">
        <w:tc>
          <w:tcPr>
            <w:tcW w:w="1271" w:type="dxa"/>
          </w:tcPr>
          <w:p w14:paraId="040A9B73" w14:textId="77777777" w:rsidR="00EB1C34" w:rsidRPr="006C3AD2" w:rsidRDefault="00EB1C34" w:rsidP="0008643D">
            <w:pPr>
              <w:pStyle w:val="Pisma"/>
              <w:tabs>
                <w:tab w:val="num" w:pos="-2160"/>
              </w:tabs>
              <w:autoSpaceDE/>
              <w:autoSpaceDN/>
              <w:jc w:val="left"/>
              <w:rPr>
                <w:sz w:val="24"/>
              </w:rPr>
            </w:pPr>
          </w:p>
        </w:tc>
        <w:tc>
          <w:tcPr>
            <w:tcW w:w="7791" w:type="dxa"/>
          </w:tcPr>
          <w:p w14:paraId="25FA36B0" w14:textId="77777777" w:rsidR="00EB1C34" w:rsidRPr="006C3AD2" w:rsidRDefault="00EB1C34" w:rsidP="0008643D">
            <w:pPr>
              <w:pStyle w:val="Pisma"/>
              <w:tabs>
                <w:tab w:val="num" w:pos="-2160"/>
              </w:tabs>
              <w:autoSpaceDE/>
              <w:autoSpaceDN/>
              <w:rPr>
                <w:sz w:val="24"/>
              </w:rPr>
            </w:pPr>
          </w:p>
        </w:tc>
      </w:tr>
      <w:tr w:rsidR="00EB1C34" w:rsidRPr="006C3AD2" w14:paraId="59CB681D" w14:textId="77777777" w:rsidTr="0008643D">
        <w:tc>
          <w:tcPr>
            <w:tcW w:w="1271" w:type="dxa"/>
          </w:tcPr>
          <w:p w14:paraId="64C2B252" w14:textId="77777777" w:rsidR="00EB1C34" w:rsidRPr="006C3AD2" w:rsidRDefault="00EB1C34" w:rsidP="0008643D">
            <w:pPr>
              <w:pStyle w:val="Pisma"/>
              <w:tabs>
                <w:tab w:val="num" w:pos="-2160"/>
              </w:tabs>
              <w:autoSpaceDE/>
              <w:autoSpaceDN/>
              <w:jc w:val="left"/>
              <w:rPr>
                <w:sz w:val="24"/>
              </w:rPr>
            </w:pPr>
          </w:p>
        </w:tc>
        <w:tc>
          <w:tcPr>
            <w:tcW w:w="7791" w:type="dxa"/>
          </w:tcPr>
          <w:p w14:paraId="1C3FE1F0" w14:textId="77777777" w:rsidR="00EB1C34" w:rsidRPr="006C3AD2" w:rsidRDefault="00EB1C34" w:rsidP="0008643D">
            <w:pPr>
              <w:pStyle w:val="Pisma"/>
              <w:tabs>
                <w:tab w:val="num" w:pos="-2160"/>
              </w:tabs>
              <w:autoSpaceDE/>
              <w:autoSpaceDN/>
              <w:rPr>
                <w:sz w:val="24"/>
              </w:rPr>
            </w:pPr>
          </w:p>
        </w:tc>
      </w:tr>
    </w:tbl>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ACC1" w14:textId="77777777" w:rsidR="0031493D" w:rsidRDefault="0031493D" w:rsidP="00030637">
      <w:r>
        <w:separator/>
      </w:r>
    </w:p>
  </w:endnote>
  <w:endnote w:type="continuationSeparator" w:id="0">
    <w:p w14:paraId="3026004B" w14:textId="77777777" w:rsidR="0031493D" w:rsidRDefault="0031493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5B4C" w14:textId="77777777" w:rsidR="0031493D" w:rsidRDefault="0031493D" w:rsidP="00030637">
      <w:r>
        <w:separator/>
      </w:r>
    </w:p>
  </w:footnote>
  <w:footnote w:type="continuationSeparator" w:id="0">
    <w:p w14:paraId="77AF4A39" w14:textId="77777777" w:rsidR="0031493D" w:rsidRDefault="0031493D"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8">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19">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0">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1">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2">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3">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4">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6">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7">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8">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29">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1">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4">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5">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6">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7">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8">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0">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1">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2">
    <w:p w14:paraId="4140A346" w14:textId="25C3EBDB" w:rsidR="00042ED5" w:rsidRPr="00134FE6" w:rsidRDefault="00042ED5" w:rsidP="00042ED5">
      <w:pPr>
        <w:pStyle w:val="Tekstprzypisudolnego"/>
        <w:jc w:val="both"/>
        <w:rPr>
          <w:sz w:val="18"/>
          <w:szCs w:val="18"/>
          <w:lang w:val="pl-PL"/>
        </w:rPr>
      </w:pPr>
      <w:r>
        <w:rPr>
          <w:rStyle w:val="Odwoanieprzypisudolnego"/>
        </w:rPr>
        <w:footnoteRef/>
      </w:r>
      <w:r>
        <w:t xml:space="preserve"> </w:t>
      </w:r>
      <w:r w:rsidRPr="00CA0425">
        <w:rPr>
          <w:sz w:val="18"/>
          <w:szCs w:val="18"/>
          <w:lang w:val="pl-PL"/>
        </w:rPr>
        <w:t xml:space="preserve">W przypadku, gdy </w:t>
      </w:r>
      <w:r w:rsidR="005709BF">
        <w:rPr>
          <w:sz w:val="18"/>
          <w:szCs w:val="18"/>
          <w:lang w:val="pl-PL"/>
        </w:rPr>
        <w:t xml:space="preserve">w projekcie nie przewiduje się </w:t>
      </w:r>
      <w:r w:rsidRPr="00CA0425">
        <w:rPr>
          <w:sz w:val="18"/>
          <w:szCs w:val="18"/>
          <w:lang w:val="pl-PL"/>
        </w:rPr>
        <w:t xml:space="preserve"> </w:t>
      </w:r>
      <w:r w:rsidR="005709BF">
        <w:rPr>
          <w:sz w:val="18"/>
          <w:szCs w:val="18"/>
          <w:lang w:val="pl-PL"/>
        </w:rPr>
        <w:t>uproszczonych</w:t>
      </w:r>
      <w:r w:rsidRPr="00CA0425">
        <w:rPr>
          <w:sz w:val="18"/>
          <w:szCs w:val="18"/>
          <w:lang w:val="pl-PL"/>
        </w:rPr>
        <w:t xml:space="preserve"> metod rozliczania wydatków, ustępy 1–</w:t>
      </w:r>
      <w:r>
        <w:rPr>
          <w:sz w:val="18"/>
          <w:szCs w:val="18"/>
          <w:lang w:val="pl-PL"/>
        </w:rPr>
        <w:t>3</w:t>
      </w:r>
      <w:r w:rsidRPr="00CA0425">
        <w:rPr>
          <w:sz w:val="18"/>
          <w:szCs w:val="18"/>
          <w:lang w:val="pl-PL"/>
        </w:rPr>
        <w:t xml:space="preserve"> należy wykreślić.</w:t>
      </w:r>
    </w:p>
    <w:p w14:paraId="1DACA678" w14:textId="67C48A5F" w:rsidR="00042ED5" w:rsidRPr="00042ED5" w:rsidRDefault="00042ED5">
      <w:pPr>
        <w:pStyle w:val="Tekstprzypisudolnego"/>
        <w:rPr>
          <w:lang w:val="pl-PL"/>
        </w:rPr>
      </w:pPr>
    </w:p>
  </w:footnote>
  <w:footnote w:id="43">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4">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5">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6">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7">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48">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49">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0">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1">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2">
    <w:p w14:paraId="5E6C8456" w14:textId="79FD112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w:t>
      </w:r>
      <w:r w:rsidR="0005740C">
        <w:rPr>
          <w:sz w:val="18"/>
          <w:szCs w:val="18"/>
        </w:rPr>
        <w:t xml:space="preserve"> słowa “oraz w okresie trwałości projektu”</w:t>
      </w:r>
      <w:r w:rsidRPr="00BE64DA">
        <w:rPr>
          <w:sz w:val="18"/>
          <w:szCs w:val="18"/>
        </w:rPr>
        <w:t xml:space="preserve">,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w:t>
      </w:r>
      <w:r w:rsidR="0005740C">
        <w:rPr>
          <w:sz w:val="18"/>
          <w:szCs w:val="18"/>
        </w:rPr>
        <w:br/>
      </w:r>
      <w:r w:rsidRPr="00BE64DA">
        <w:rPr>
          <w:sz w:val="18"/>
          <w:szCs w:val="18"/>
        </w:rPr>
        <w:t xml:space="preserve">i promocyjne </w:t>
      </w:r>
      <w:r w:rsidR="0005740C">
        <w:rPr>
          <w:sz w:val="18"/>
          <w:szCs w:val="18"/>
        </w:rPr>
        <w:t xml:space="preserve">po zakończeniu realizacji Projektu, a w okresie trwałości Projektu, </w:t>
      </w:r>
      <w:r w:rsidRPr="00BE64DA">
        <w:rPr>
          <w:sz w:val="18"/>
          <w:szCs w:val="18"/>
        </w:rPr>
        <w:t>dotyczą obowiązków,</w:t>
      </w:r>
      <w:r w:rsidR="0005740C">
        <w:rPr>
          <w:sz w:val="18"/>
          <w:szCs w:val="18"/>
        </w:rPr>
        <w:t xml:space="preserve"> </w:t>
      </w:r>
      <w:r w:rsidRPr="00BE64DA">
        <w:rPr>
          <w:sz w:val="18"/>
          <w:szCs w:val="18"/>
        </w:rPr>
        <w:t xml:space="preserve">o których mowa </w:t>
      </w:r>
      <w:r w:rsidR="00033062">
        <w:rPr>
          <w:sz w:val="18"/>
          <w:szCs w:val="18"/>
        </w:rPr>
        <w:br/>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3">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4">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5">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6">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7">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8">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59">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0">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1">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2">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3">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3"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6"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52E4020"/>
    <w:multiLevelType w:val="hybridMultilevel"/>
    <w:tmpl w:val="F52E6E84"/>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3E70A5A2">
      <w:start w:val="1"/>
      <w:numFmt w:val="decimal"/>
      <w:lvlText w:val="%4."/>
      <w:lvlJc w:val="left"/>
      <w:pPr>
        <w:ind w:left="360" w:hanging="360"/>
      </w:pPr>
      <w:rPr>
        <w:rFonts w:hint="default"/>
        <w:strike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5"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133E67"/>
    <w:multiLevelType w:val="hybridMultilevel"/>
    <w:tmpl w:val="52E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1" w15:restartNumberingAfterBreak="0">
    <w:nsid w:val="5A721A69"/>
    <w:multiLevelType w:val="hybridMultilevel"/>
    <w:tmpl w:val="87F2C7A0"/>
    <w:lvl w:ilvl="0" w:tplc="F5A2D608">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3"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4"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7"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EB0485"/>
    <w:multiLevelType w:val="hybridMultilevel"/>
    <w:tmpl w:val="141617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CA105B04">
      <w:start w:val="1"/>
      <w:numFmt w:val="lowerLetter"/>
      <w:lvlText w:val="%3)"/>
      <w:lvlJc w:val="right"/>
      <w:pPr>
        <w:ind w:left="2520" w:hanging="180"/>
      </w:pPr>
      <w:rPr>
        <w:rFonts w:ascii="Times New Roman" w:eastAsia="Times New Roman" w:hAnsi="Times New Roman" w:cs="Times New Roman"/>
        <w:color w:val="auto"/>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6C704730"/>
    <w:multiLevelType w:val="hybridMultilevel"/>
    <w:tmpl w:val="C08C6DDA"/>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4"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C05894"/>
    <w:multiLevelType w:val="hybridMultilevel"/>
    <w:tmpl w:val="B592449C"/>
    <w:lvl w:ilvl="0" w:tplc="616A8FE0">
      <w:start w:val="1"/>
      <w:numFmt w:val="decimal"/>
      <w:lvlText w:val="%1."/>
      <w:lvlJc w:val="left"/>
      <w:pPr>
        <w:ind w:left="360" w:hanging="360"/>
      </w:pPr>
      <w:rPr>
        <w:rFonts w:cs="Times New Roman" w:hint="default"/>
        <w:strike w:val="0"/>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8"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3"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6"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7"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2"/>
  </w:num>
  <w:num w:numId="2" w16cid:durableId="1739397878">
    <w:abstractNumId w:val="72"/>
  </w:num>
  <w:num w:numId="3" w16cid:durableId="469325571">
    <w:abstractNumId w:val="35"/>
  </w:num>
  <w:num w:numId="4" w16cid:durableId="1434746475">
    <w:abstractNumId w:val="36"/>
  </w:num>
  <w:num w:numId="5" w16cid:durableId="2109425441">
    <w:abstractNumId w:val="66"/>
  </w:num>
  <w:num w:numId="6" w16cid:durableId="309675300">
    <w:abstractNumId w:val="39"/>
  </w:num>
  <w:num w:numId="7" w16cid:durableId="136188169">
    <w:abstractNumId w:val="65"/>
  </w:num>
  <w:num w:numId="8" w16cid:durableId="158547598">
    <w:abstractNumId w:val="46"/>
  </w:num>
  <w:num w:numId="9" w16cid:durableId="454060217">
    <w:abstractNumId w:val="37"/>
  </w:num>
  <w:num w:numId="10" w16cid:durableId="646780503">
    <w:abstractNumId w:val="41"/>
  </w:num>
  <w:num w:numId="11" w16cid:durableId="590621723">
    <w:abstractNumId w:val="55"/>
  </w:num>
  <w:num w:numId="12" w16cid:durableId="1402481656">
    <w:abstractNumId w:val="30"/>
  </w:num>
  <w:num w:numId="13" w16cid:durableId="1920554565">
    <w:abstractNumId w:val="11"/>
  </w:num>
  <w:num w:numId="14" w16cid:durableId="920875997">
    <w:abstractNumId w:val="25"/>
  </w:num>
  <w:num w:numId="15" w16cid:durableId="1642344672">
    <w:abstractNumId w:val="22"/>
  </w:num>
  <w:num w:numId="16" w16cid:durableId="1855998154">
    <w:abstractNumId w:val="60"/>
  </w:num>
  <w:num w:numId="17" w16cid:durableId="2007316598">
    <w:abstractNumId w:val="45"/>
  </w:num>
  <w:num w:numId="18" w16cid:durableId="978072587">
    <w:abstractNumId w:val="40"/>
  </w:num>
  <w:num w:numId="19" w16cid:durableId="1090741460">
    <w:abstractNumId w:val="29"/>
  </w:num>
  <w:num w:numId="20" w16cid:durableId="319508722">
    <w:abstractNumId w:val="43"/>
  </w:num>
  <w:num w:numId="21" w16cid:durableId="211576176">
    <w:abstractNumId w:val="32"/>
  </w:num>
  <w:num w:numId="22" w16cid:durableId="1935239502">
    <w:abstractNumId w:val="62"/>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8"/>
  </w:num>
  <w:num w:numId="29" w16cid:durableId="909538487">
    <w:abstractNumId w:val="12"/>
  </w:num>
  <w:num w:numId="30" w16cid:durableId="1006202254">
    <w:abstractNumId w:val="6"/>
  </w:num>
  <w:num w:numId="31" w16cid:durableId="181941326">
    <w:abstractNumId w:val="24"/>
  </w:num>
  <w:num w:numId="32" w16cid:durableId="1111783594">
    <w:abstractNumId w:val="73"/>
  </w:num>
  <w:num w:numId="33" w16cid:durableId="1150053554">
    <w:abstractNumId w:val="77"/>
  </w:num>
  <w:num w:numId="34" w16cid:durableId="1432622239">
    <w:abstractNumId w:val="21"/>
  </w:num>
  <w:num w:numId="35" w16cid:durableId="2012754781">
    <w:abstractNumId w:val="38"/>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4"/>
  </w:num>
  <w:num w:numId="39" w16cid:durableId="1666974315">
    <w:abstractNumId w:val="71"/>
  </w:num>
  <w:num w:numId="40" w16cid:durableId="429083892">
    <w:abstractNumId w:val="15"/>
  </w:num>
  <w:num w:numId="41" w16cid:durableId="138886308">
    <w:abstractNumId w:val="23"/>
  </w:num>
  <w:num w:numId="42" w16cid:durableId="1402484119">
    <w:abstractNumId w:val="44"/>
  </w:num>
  <w:num w:numId="43" w16cid:durableId="1919173849">
    <w:abstractNumId w:val="75"/>
  </w:num>
  <w:num w:numId="44" w16cid:durableId="854686482">
    <w:abstractNumId w:val="61"/>
  </w:num>
  <w:num w:numId="45" w16cid:durableId="854613541">
    <w:abstractNumId w:val="19"/>
    <w:lvlOverride w:ilvl="0">
      <w:lvl w:ilvl="0" w:tplc="2FF66CE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1"/>
  </w:num>
  <w:num w:numId="48" w16cid:durableId="762996581">
    <w:abstractNumId w:val="10"/>
  </w:num>
  <w:num w:numId="49" w16cid:durableId="185098110">
    <w:abstractNumId w:val="64"/>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9"/>
  </w:num>
  <w:num w:numId="52" w16cid:durableId="628708559">
    <w:abstractNumId w:val="5"/>
  </w:num>
  <w:num w:numId="53" w16cid:durableId="324600540">
    <w:abstractNumId w:val="31"/>
  </w:num>
  <w:num w:numId="54" w16cid:durableId="1454716233">
    <w:abstractNumId w:val="59"/>
  </w:num>
  <w:num w:numId="55" w16cid:durableId="2008705069">
    <w:abstractNumId w:val="28"/>
  </w:num>
  <w:num w:numId="56" w16cid:durableId="1405371240">
    <w:abstractNumId w:val="56"/>
  </w:num>
  <w:num w:numId="57" w16cid:durableId="512837808">
    <w:abstractNumId w:val="4"/>
  </w:num>
  <w:num w:numId="58" w16cid:durableId="1222133062">
    <w:abstractNumId w:val="63"/>
  </w:num>
  <w:num w:numId="59" w16cid:durableId="1586299273">
    <w:abstractNumId w:val="26"/>
  </w:num>
  <w:num w:numId="60" w16cid:durableId="372776345">
    <w:abstractNumId w:val="50"/>
  </w:num>
  <w:num w:numId="61" w16cid:durableId="1627808155">
    <w:abstractNumId w:val="52"/>
  </w:num>
  <w:num w:numId="62" w16cid:durableId="829755810">
    <w:abstractNumId w:val="1"/>
  </w:num>
  <w:num w:numId="63" w16cid:durableId="2003506056">
    <w:abstractNumId w:val="48"/>
  </w:num>
  <w:num w:numId="64" w16cid:durableId="1272782904">
    <w:abstractNumId w:val="3"/>
  </w:num>
  <w:num w:numId="65" w16cid:durableId="1320304705">
    <w:abstractNumId w:val="34"/>
  </w:num>
  <w:num w:numId="66" w16cid:durableId="1985892788">
    <w:abstractNumId w:val="70"/>
  </w:num>
  <w:num w:numId="67" w16cid:durableId="2103648524">
    <w:abstractNumId w:val="9"/>
  </w:num>
  <w:num w:numId="68" w16cid:durableId="411124960">
    <w:abstractNumId w:val="74"/>
  </w:num>
  <w:num w:numId="69" w16cid:durableId="1828283109">
    <w:abstractNumId w:val="27"/>
  </w:num>
  <w:num w:numId="70" w16cid:durableId="1574319312">
    <w:abstractNumId w:val="33"/>
  </w:num>
  <w:num w:numId="71" w16cid:durableId="759568800">
    <w:abstractNumId w:val="67"/>
  </w:num>
  <w:num w:numId="72" w16cid:durableId="1347251547">
    <w:abstractNumId w:val="76"/>
  </w:num>
  <w:num w:numId="73" w16cid:durableId="30959920">
    <w:abstractNumId w:val="53"/>
  </w:num>
  <w:num w:numId="74" w16cid:durableId="1821458046">
    <w:abstractNumId w:val="20"/>
  </w:num>
  <w:num w:numId="75" w16cid:durableId="952445973">
    <w:abstractNumId w:val="57"/>
  </w:num>
  <w:num w:numId="76" w16cid:durableId="1362128378">
    <w:abstractNumId w:val="47"/>
  </w:num>
  <w:num w:numId="77" w16cid:durableId="776756802">
    <w:abstractNumId w:val="49"/>
  </w:num>
  <w:num w:numId="78" w16cid:durableId="1013842652">
    <w:abstractNumId w:val="5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425"/>
    <w:rsid w:val="0002062B"/>
    <w:rsid w:val="00020918"/>
    <w:rsid w:val="00020DDC"/>
    <w:rsid w:val="00021129"/>
    <w:rsid w:val="000220FA"/>
    <w:rsid w:val="00022FF8"/>
    <w:rsid w:val="000235D2"/>
    <w:rsid w:val="00023D99"/>
    <w:rsid w:val="00024882"/>
    <w:rsid w:val="00024DED"/>
    <w:rsid w:val="000255CA"/>
    <w:rsid w:val="00025AE2"/>
    <w:rsid w:val="00027AF5"/>
    <w:rsid w:val="00030637"/>
    <w:rsid w:val="00030B36"/>
    <w:rsid w:val="00031018"/>
    <w:rsid w:val="0003171B"/>
    <w:rsid w:val="00033062"/>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2ED5"/>
    <w:rsid w:val="000432DF"/>
    <w:rsid w:val="000436A1"/>
    <w:rsid w:val="00043D54"/>
    <w:rsid w:val="00045C0A"/>
    <w:rsid w:val="0004659C"/>
    <w:rsid w:val="000470E3"/>
    <w:rsid w:val="00047F42"/>
    <w:rsid w:val="0005012E"/>
    <w:rsid w:val="0005069E"/>
    <w:rsid w:val="00050A31"/>
    <w:rsid w:val="000520B2"/>
    <w:rsid w:val="00052DAD"/>
    <w:rsid w:val="00052ECF"/>
    <w:rsid w:val="00053E37"/>
    <w:rsid w:val="00055325"/>
    <w:rsid w:val="00055350"/>
    <w:rsid w:val="0005740C"/>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D6E"/>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6A85"/>
    <w:rsid w:val="000973CF"/>
    <w:rsid w:val="00097D1B"/>
    <w:rsid w:val="000A05F2"/>
    <w:rsid w:val="000A064A"/>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549D"/>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D1"/>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3215"/>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5305"/>
    <w:rsid w:val="0015656A"/>
    <w:rsid w:val="001578B6"/>
    <w:rsid w:val="00157900"/>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9A7"/>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786"/>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4A61"/>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499"/>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493D"/>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0D6D"/>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27E5"/>
    <w:rsid w:val="0035347F"/>
    <w:rsid w:val="003538CE"/>
    <w:rsid w:val="003539F1"/>
    <w:rsid w:val="00353ED3"/>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2E"/>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80A"/>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37C38"/>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11C"/>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686"/>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2EB"/>
    <w:rsid w:val="004A3569"/>
    <w:rsid w:val="004A3A0F"/>
    <w:rsid w:val="004A3BBA"/>
    <w:rsid w:val="004A47F7"/>
    <w:rsid w:val="004A53CA"/>
    <w:rsid w:val="004A5F35"/>
    <w:rsid w:val="004A6127"/>
    <w:rsid w:val="004A66BD"/>
    <w:rsid w:val="004A6D1F"/>
    <w:rsid w:val="004A783E"/>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94"/>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44A"/>
    <w:rsid w:val="00500B69"/>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1D82"/>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09BF"/>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6C"/>
    <w:rsid w:val="005C279F"/>
    <w:rsid w:val="005C2D24"/>
    <w:rsid w:val="005C2F03"/>
    <w:rsid w:val="005C32F8"/>
    <w:rsid w:val="005C393E"/>
    <w:rsid w:val="005C3E0F"/>
    <w:rsid w:val="005C3FC2"/>
    <w:rsid w:val="005C438A"/>
    <w:rsid w:val="005C49BC"/>
    <w:rsid w:val="005C7321"/>
    <w:rsid w:val="005C7883"/>
    <w:rsid w:val="005C7E30"/>
    <w:rsid w:val="005C7EB8"/>
    <w:rsid w:val="005D1922"/>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05E"/>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69F8"/>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5FA1"/>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7DC"/>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55C0"/>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4CA"/>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59F2"/>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59ED"/>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593"/>
    <w:rsid w:val="00881952"/>
    <w:rsid w:val="00881DD9"/>
    <w:rsid w:val="00881F8B"/>
    <w:rsid w:val="00882A40"/>
    <w:rsid w:val="00883208"/>
    <w:rsid w:val="00883308"/>
    <w:rsid w:val="008845CE"/>
    <w:rsid w:val="008850F2"/>
    <w:rsid w:val="0088656D"/>
    <w:rsid w:val="00886C12"/>
    <w:rsid w:val="008875F8"/>
    <w:rsid w:val="00887B3F"/>
    <w:rsid w:val="00891960"/>
    <w:rsid w:val="008928C8"/>
    <w:rsid w:val="00892B81"/>
    <w:rsid w:val="00893620"/>
    <w:rsid w:val="00893807"/>
    <w:rsid w:val="008943DF"/>
    <w:rsid w:val="008952CA"/>
    <w:rsid w:val="00895F36"/>
    <w:rsid w:val="00896C5E"/>
    <w:rsid w:val="00896D0B"/>
    <w:rsid w:val="00897557"/>
    <w:rsid w:val="00897F59"/>
    <w:rsid w:val="008A0705"/>
    <w:rsid w:val="008A0D29"/>
    <w:rsid w:val="008A1CAF"/>
    <w:rsid w:val="008A37BE"/>
    <w:rsid w:val="008A3F9D"/>
    <w:rsid w:val="008A72C9"/>
    <w:rsid w:val="008A7C2D"/>
    <w:rsid w:val="008B0466"/>
    <w:rsid w:val="008B1292"/>
    <w:rsid w:val="008B12C8"/>
    <w:rsid w:val="008B1540"/>
    <w:rsid w:val="008B2A8B"/>
    <w:rsid w:val="008B3D85"/>
    <w:rsid w:val="008B563D"/>
    <w:rsid w:val="008B715A"/>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0F26"/>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3853"/>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9BB"/>
    <w:rsid w:val="009F2BEB"/>
    <w:rsid w:val="009F2CB5"/>
    <w:rsid w:val="009F30C0"/>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559"/>
    <w:rsid w:val="00A31C73"/>
    <w:rsid w:val="00A31EA3"/>
    <w:rsid w:val="00A3220D"/>
    <w:rsid w:val="00A337E7"/>
    <w:rsid w:val="00A339D4"/>
    <w:rsid w:val="00A33B6B"/>
    <w:rsid w:val="00A3435C"/>
    <w:rsid w:val="00A34538"/>
    <w:rsid w:val="00A35EA1"/>
    <w:rsid w:val="00A3668C"/>
    <w:rsid w:val="00A36D96"/>
    <w:rsid w:val="00A379DC"/>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53E"/>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0FBE"/>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5CE3"/>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2D9E"/>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BD0"/>
    <w:rsid w:val="00B60FBA"/>
    <w:rsid w:val="00B61B29"/>
    <w:rsid w:val="00B61D53"/>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4B3"/>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2F44"/>
    <w:rsid w:val="00BF3C14"/>
    <w:rsid w:val="00BF4241"/>
    <w:rsid w:val="00BF5449"/>
    <w:rsid w:val="00BF7598"/>
    <w:rsid w:val="00C005D9"/>
    <w:rsid w:val="00C00884"/>
    <w:rsid w:val="00C00C72"/>
    <w:rsid w:val="00C011FB"/>
    <w:rsid w:val="00C01509"/>
    <w:rsid w:val="00C01B38"/>
    <w:rsid w:val="00C022F8"/>
    <w:rsid w:val="00C028F0"/>
    <w:rsid w:val="00C03FF2"/>
    <w:rsid w:val="00C0437F"/>
    <w:rsid w:val="00C04F2E"/>
    <w:rsid w:val="00C06140"/>
    <w:rsid w:val="00C06C9F"/>
    <w:rsid w:val="00C070B0"/>
    <w:rsid w:val="00C0764B"/>
    <w:rsid w:val="00C101A9"/>
    <w:rsid w:val="00C10ED8"/>
    <w:rsid w:val="00C11017"/>
    <w:rsid w:val="00C110BD"/>
    <w:rsid w:val="00C12A3E"/>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569"/>
    <w:rsid w:val="00C30864"/>
    <w:rsid w:val="00C30A61"/>
    <w:rsid w:val="00C32ED7"/>
    <w:rsid w:val="00C32FF8"/>
    <w:rsid w:val="00C33A82"/>
    <w:rsid w:val="00C33D71"/>
    <w:rsid w:val="00C34575"/>
    <w:rsid w:val="00C34577"/>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29F5"/>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22EE"/>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962"/>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3CD1"/>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E8"/>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281F"/>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5A61"/>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3D82"/>
    <w:rsid w:val="00E6405F"/>
    <w:rsid w:val="00E651B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2013"/>
    <w:rsid w:val="00E83249"/>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1C34"/>
    <w:rsid w:val="00EB224C"/>
    <w:rsid w:val="00EB2303"/>
    <w:rsid w:val="00EB247E"/>
    <w:rsid w:val="00EB2706"/>
    <w:rsid w:val="00EB3127"/>
    <w:rsid w:val="00EB3981"/>
    <w:rsid w:val="00EB3C23"/>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144"/>
    <w:rsid w:val="00ED44E2"/>
    <w:rsid w:val="00ED5593"/>
    <w:rsid w:val="00ED754A"/>
    <w:rsid w:val="00ED7B35"/>
    <w:rsid w:val="00ED7D92"/>
    <w:rsid w:val="00EE0EFB"/>
    <w:rsid w:val="00EE0F94"/>
    <w:rsid w:val="00EE0FA1"/>
    <w:rsid w:val="00EE1521"/>
    <w:rsid w:val="00EE1526"/>
    <w:rsid w:val="00EE342A"/>
    <w:rsid w:val="00EE3772"/>
    <w:rsid w:val="00EE37C2"/>
    <w:rsid w:val="00EE4729"/>
    <w:rsid w:val="00EE47AD"/>
    <w:rsid w:val="00EE688A"/>
    <w:rsid w:val="00EE6B08"/>
    <w:rsid w:val="00EE71CB"/>
    <w:rsid w:val="00EE7534"/>
    <w:rsid w:val="00EF0DF5"/>
    <w:rsid w:val="00EF1006"/>
    <w:rsid w:val="00EF294F"/>
    <w:rsid w:val="00EF33B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17CA4"/>
    <w:rsid w:val="00F20965"/>
    <w:rsid w:val="00F215BC"/>
    <w:rsid w:val="00F21AB6"/>
    <w:rsid w:val="00F21FAD"/>
    <w:rsid w:val="00F226A5"/>
    <w:rsid w:val="00F22D1A"/>
    <w:rsid w:val="00F236E5"/>
    <w:rsid w:val="00F23C37"/>
    <w:rsid w:val="00F23DFF"/>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303"/>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2A3B"/>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5D2"/>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7E1"/>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4E4A"/>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42</Pages>
  <Words>18220</Words>
  <Characters>109325</Characters>
  <Application>Microsoft Office Word</Application>
  <DocSecurity>0</DocSecurity>
  <Lines>911</Lines>
  <Paragraphs>254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127291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Sadło, Kamila</cp:lastModifiedBy>
  <cp:revision>40</cp:revision>
  <cp:lastPrinted>2024-07-04T11:32:00Z</cp:lastPrinted>
  <dcterms:created xsi:type="dcterms:W3CDTF">2025-03-24T13:05:00Z</dcterms:created>
  <dcterms:modified xsi:type="dcterms:W3CDTF">2025-04-17T06:31:00Z</dcterms:modified>
</cp:coreProperties>
</file>