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3052DF7D" w:rsidR="00A0435A" w:rsidRPr="006C3AD2" w:rsidRDefault="00A0435A" w:rsidP="00915D15">
      <w:pPr>
        <w:rPr>
          <w:bCs/>
        </w:rPr>
      </w:pPr>
      <w:bookmarkStart w:id="0" w:name="_Ref199640118"/>
      <w:r w:rsidRPr="00074E1D">
        <w:rPr>
          <w:bCs/>
          <w:highlight w:val="yellow"/>
        </w:rPr>
        <w:t xml:space="preserve">Załącznik </w:t>
      </w:r>
      <w:r w:rsidRPr="002F3EE0">
        <w:rPr>
          <w:bCs/>
          <w:highlight w:val="yellow"/>
        </w:rPr>
        <w:t>Nr</w:t>
      </w:r>
      <w:proofErr w:type="gramStart"/>
      <w:r w:rsidRPr="002F3EE0">
        <w:rPr>
          <w:bCs/>
          <w:highlight w:val="yellow"/>
        </w:rPr>
        <w:t xml:space="preserve"> </w:t>
      </w:r>
      <w:r w:rsidR="002F3EE0" w:rsidRPr="002F3EE0">
        <w:rPr>
          <w:bCs/>
          <w:highlight w:val="yellow"/>
        </w:rPr>
        <w:t>….</w:t>
      </w:r>
      <w:proofErr w:type="gramEnd"/>
      <w:r w:rsidR="002F3EE0" w:rsidRPr="002F3EE0">
        <w:rPr>
          <w:bCs/>
          <w:highlight w:val="yellow"/>
        </w:rPr>
        <w:t>.</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68F65D4C"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684116"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6C3AD2">
        <w:rPr>
          <w:rFonts w:cs="Arial"/>
        </w:rPr>
        <w:lastRenderedPageBreak/>
        <w:t>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lastRenderedPageBreak/>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 xml:space="preserve">co najmniej przez cały okres jego amortyzacji (od momentu przyjęcia składnika infrastruktury do użytkowania), niezależnie od okresu trwałości Projektu, przy czym </w:t>
      </w:r>
      <w:r w:rsidRPr="006C3AD2">
        <w:lastRenderedPageBreak/>
        <w:t>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lastRenderedPageBreak/>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Informacja pokontrolna oraz ostateczna informacja pokontrolna zawierają termin przekazania instytucji kontrolującej informacji o sposobie wykonania zaleceń </w:t>
      </w:r>
      <w:r w:rsidRPr="006C3AD2">
        <w:rPr>
          <w:color w:val="000000"/>
        </w:rPr>
        <w:lastRenderedPageBreak/>
        <w:t>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lastRenderedPageBreak/>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lastRenderedPageBreak/>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lastRenderedPageBreak/>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lastRenderedPageBreak/>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lastRenderedPageBreak/>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Pr="006C3AD2">
        <w:rPr>
          <w:bCs/>
          <w:color w:val="000000" w:themeColor="text1"/>
        </w:rPr>
        <w:lastRenderedPageBreak/>
        <w:t>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w:t>
      </w:r>
      <w:r w:rsidRPr="006C3AD2">
        <w:rPr>
          <w:rFonts w:eastAsia="Arial" w:cstheme="minorHAnsi"/>
          <w:color w:val="000000" w:themeColor="text1"/>
        </w:rPr>
        <w:lastRenderedPageBreak/>
        <w:t xml:space="preserve">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lastRenderedPageBreak/>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lastRenderedPageBreak/>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2E9E6E05"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w:t>
      </w:r>
      <w:r w:rsidRPr="006C3AD2">
        <w:lastRenderedPageBreak/>
        <w:t xml:space="preserve">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w:t>
      </w:r>
      <w:proofErr w:type="spellStart"/>
      <w:r w:rsidRPr="006C3AD2">
        <w:rPr>
          <w:iCs/>
        </w:rPr>
        <w:t>t.j</w:t>
      </w:r>
      <w:proofErr w:type="spellEnd"/>
      <w:r w:rsidRPr="006C3AD2">
        <w:rPr>
          <w:iCs/>
        </w:rPr>
        <w:t xml:space="preserve">. Dz. U. z 2023 r., poz. </w:t>
      </w:r>
      <w:r w:rsidR="00DA654D" w:rsidRPr="006C3AD2">
        <w:rPr>
          <w:iCs/>
        </w:rPr>
        <w:t>7</w:t>
      </w:r>
      <w:r w:rsidRPr="006C3AD2">
        <w:rPr>
          <w:iCs/>
        </w:rPr>
        <w:t>02),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proofErr w:type="gramStart"/>
      <w:r w:rsidR="00326240" w:rsidRPr="006C3AD2">
        <w:t>…</w:t>
      </w:r>
      <w:r w:rsidRPr="006C3AD2">
        <w:t>….</w:t>
      </w:r>
      <w:proofErr w:type="gramEnd"/>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lastRenderedPageBreak/>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14A2D9F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41</Pages>
  <Words>17831</Words>
  <Characters>106991</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124573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Wieczorek, Magdalena</cp:lastModifiedBy>
  <cp:revision>16</cp:revision>
  <cp:lastPrinted>2024-07-04T11:32:00Z</cp:lastPrinted>
  <dcterms:created xsi:type="dcterms:W3CDTF">2024-10-17T05:36:00Z</dcterms:created>
  <dcterms:modified xsi:type="dcterms:W3CDTF">2024-11-29T06:56:00Z</dcterms:modified>
</cp:coreProperties>
</file>