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CEC1" w14:textId="77777777" w:rsidR="00840FFE" w:rsidRPr="007C687E" w:rsidRDefault="00840FFE" w:rsidP="00840FF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7C687E">
        <w:rPr>
          <w:b/>
        </w:rPr>
        <w:t>KARTA INFORMACYJNA</w:t>
      </w:r>
    </w:p>
    <w:p w14:paraId="0516A1F3" w14:textId="77777777" w:rsidR="00840FFE" w:rsidRPr="007C687E" w:rsidRDefault="00840FFE" w:rsidP="00840F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ZEZWOLENIE NA USUNIĘCIE DRZEW I KRZEWÓW</w:t>
      </w:r>
    </w:p>
    <w:p w14:paraId="1AC53AB5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PODMIOT UPRAWNIONY DO WYSTĄPIENIA O ZAŁATWIENIE SPRAWY:</w:t>
      </w:r>
    </w:p>
    <w:p w14:paraId="1B69F797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Wniosek o wydanie decyzji na usunięcie drzew lub krzewów wnosi: </w:t>
      </w:r>
    </w:p>
    <w:p w14:paraId="4B4C1A6C" w14:textId="77777777" w:rsidR="00840FFE" w:rsidRPr="00033ECF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 będącej własnością </w:t>
      </w:r>
      <w:r>
        <w:rPr>
          <w:b/>
        </w:rPr>
        <w:t>miasta Kielce</w:t>
      </w:r>
      <w:r w:rsidRPr="00033ECF">
        <w:rPr>
          <w:b/>
        </w:rPr>
        <w:t>,</w:t>
      </w:r>
      <w:r>
        <w:rPr>
          <w:b/>
        </w:rPr>
        <w:t xml:space="preserve"> za wyjątkiem nieruchomości będących w użytkowaniu wieczystym lub wpisanej do rejestru zabytków,</w:t>
      </w:r>
    </w:p>
    <w:p w14:paraId="419E6E69" w14:textId="77777777" w:rsidR="00840FFE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nieruchomości, która graniczy z nieruchomością będącą własnością </w:t>
      </w:r>
      <w:r>
        <w:rPr>
          <w:b/>
        </w:rPr>
        <w:t>miasta Kielce</w:t>
      </w:r>
      <w:r w:rsidRPr="00033ECF">
        <w:rPr>
          <w:b/>
        </w:rPr>
        <w:t>, w przypadku drzewa lub krzewu znaj</w:t>
      </w:r>
      <w:r>
        <w:rPr>
          <w:b/>
        </w:rPr>
        <w:t>dującego się w granicy działek,</w:t>
      </w:r>
    </w:p>
    <w:p w14:paraId="75FE8F6D" w14:textId="77777777" w:rsidR="00840FFE" w:rsidRPr="00D21A12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D21A12">
        <w:rPr>
          <w:b/>
        </w:rPr>
        <w:t>właściciel urządzeń służących do doprowadzania lub odprowadzania płynów, pary, gazu, energii elektrycznej oraz innych urządzeń podobnych, jeżeli wchodzą w skład przedsiębiorstwa, nienależących do części składowych nieruchomości będącej własnością miasta Kielce.</w:t>
      </w:r>
    </w:p>
    <w:p w14:paraId="15B488B5" w14:textId="021F9F1E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 przypadku, gdy posiadacz nie jest właścicielem nieruchomości, do wniosku dołącza się zgodę jej właściciela (Miasta Kielce). Jeżeli nieruchomość stanowi współwłasność, wymagana jest zgoda wszystkich współwłaścicieli.</w:t>
      </w:r>
    </w:p>
    <w:p w14:paraId="49ED40D9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WYMAGANE DOKUMENTY:</w:t>
      </w:r>
    </w:p>
    <w:p w14:paraId="2C78A300" w14:textId="118C4CF5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</w:rPr>
      </w:pPr>
      <w:r w:rsidRPr="00982821">
        <w:rPr>
          <w:b/>
        </w:rPr>
        <w:t xml:space="preserve">Wniosek </w:t>
      </w:r>
      <w:r>
        <w:t>o wydanie zezwolenia na usunięcie drzew lub krzewów wraz z załącznikami, zgodny ze wzorem</w:t>
      </w:r>
      <w:r w:rsidRPr="006B3BBC">
        <w:t xml:space="preserve"> </w:t>
      </w:r>
      <w:r>
        <w:t>lub z zachowaniem danych zawartych w tym wzorze.</w:t>
      </w:r>
    </w:p>
    <w:p w14:paraId="2B11FAF6" w14:textId="77777777" w:rsidR="00840FFE" w:rsidRPr="00C77094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rStyle w:val="Pogrubienie"/>
          <w:bCs/>
        </w:rPr>
      </w:pPr>
      <w:r w:rsidRPr="00C77094">
        <w:rPr>
          <w:rStyle w:val="Pogrubienie"/>
          <w:bCs/>
        </w:rPr>
        <w:t>OPŁAT</w:t>
      </w:r>
      <w:r>
        <w:rPr>
          <w:rStyle w:val="Pogrubienie"/>
          <w:bCs/>
        </w:rPr>
        <w:t>A SKARBOWA</w:t>
      </w:r>
      <w:r w:rsidRPr="00C77094">
        <w:rPr>
          <w:rStyle w:val="Pogrubienie"/>
          <w:bCs/>
        </w:rPr>
        <w:t>:</w:t>
      </w:r>
    </w:p>
    <w:p w14:paraId="788AB89B" w14:textId="25FE8C5C" w:rsidR="00840FFE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bCs/>
        </w:rPr>
      </w:pPr>
      <w:r>
        <w:rPr>
          <w:rStyle w:val="Pogrubienie"/>
          <w:b w:val="0"/>
          <w:bCs/>
        </w:rPr>
        <w:t>Nie dotyczy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w związku z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art. 4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ustawy z dnia 16 listopada 2006 r. o opłacie skarbowej.</w:t>
      </w:r>
    </w:p>
    <w:p w14:paraId="7CD90CAA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FORMA ZAŁATWIENIA SPRAWY:</w:t>
      </w:r>
    </w:p>
    <w:p w14:paraId="643A6934" w14:textId="6541182D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Decyzja administracyjna</w:t>
      </w:r>
      <w:r w:rsidRPr="00FD6C8D">
        <w:t>.</w:t>
      </w:r>
    </w:p>
    <w:p w14:paraId="2FE2CA1B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TERMIN ZAŁATWIENIA SPRAWY:</w:t>
      </w:r>
    </w:p>
    <w:p w14:paraId="2EB91127" w14:textId="78C6358A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</w:t>
      </w:r>
      <w:r w:rsidRPr="005E1468">
        <w:t xml:space="preserve"> ciągu miesiąca</w:t>
      </w:r>
      <w:r>
        <w:t xml:space="preserve"> o</w:t>
      </w:r>
      <w:r w:rsidRPr="005E1468">
        <w:t>d dnia złożenia kompletnego wniosku, a w sprawie szczególnie</w:t>
      </w:r>
      <w:r>
        <w:t xml:space="preserve"> </w:t>
      </w:r>
      <w:r w:rsidRPr="005E1468">
        <w:t>skomplikowanej w ciągu dwóch miesięcy.</w:t>
      </w:r>
    </w:p>
    <w:p w14:paraId="0CD3D545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TRYB ODWOŁAWCZY:</w:t>
      </w:r>
    </w:p>
    <w:p w14:paraId="408F59A9" w14:textId="445F8154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Przysługuje możliwość wniesienia odwołania do Samorządowego Kolegium Odwoławczego </w:t>
      </w:r>
      <w:r w:rsidR="0077338D">
        <w:br/>
      </w:r>
      <w:r>
        <w:t>w Kielcach za pośrednictwem Marszałka Województwa Świętokrzyskiego w terminie 14 dni od dnia doręczenia decyzji.</w:t>
      </w:r>
    </w:p>
    <w:p w14:paraId="566F6C47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INNE INFORMACJE:</w:t>
      </w:r>
    </w:p>
    <w:p w14:paraId="0B99CF5D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Nie jest wymagane uzyskanie decyzji – zezwolenia na usunięcie</w:t>
      </w:r>
      <w:r>
        <w:rPr>
          <w:rStyle w:val="Odwoanieprzypisudolnego"/>
        </w:rPr>
        <w:footnoteReference w:id="1"/>
      </w:r>
      <w:r>
        <w:t>:</w:t>
      </w:r>
    </w:p>
    <w:p w14:paraId="26B4E805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krzewu albo krzewów rosnących w s</w:t>
      </w:r>
      <w:r>
        <w:t>kupisku, o powierzchni do 25 m</w:t>
      </w:r>
      <w:r w:rsidRPr="0059637A">
        <w:rPr>
          <w:vertAlign w:val="superscript"/>
        </w:rPr>
        <w:t>2</w:t>
      </w:r>
      <w:r>
        <w:t>;</w:t>
      </w:r>
    </w:p>
    <w:p w14:paraId="0535DB5E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 xml:space="preserve">krzewów na terenach pokrytych roślinnością pełniącą funkcje ozdobne, urządzoną </w:t>
      </w:r>
      <w:r>
        <w:br/>
        <w:t xml:space="preserve">pod względem rozmieszczenia i doboru gatunków posadzonych roślin, z wyłączeniem </w:t>
      </w:r>
      <w:r>
        <w:lastRenderedPageBreak/>
        <w:t xml:space="preserve">krzewów w pasie drogowym drogi publicznej, na terenie nieruchomości wpisanej </w:t>
      </w:r>
      <w:r>
        <w:br/>
        <w:t>do rejestru zabytków oraz na terenach zieleni;</w:t>
      </w:r>
    </w:p>
    <w:p w14:paraId="3908E8ED" w14:textId="3F266692" w:rsidR="0077338D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drzew, których obwód pnia na wysokości 5 cm nie przekracza:</w:t>
      </w:r>
    </w:p>
    <w:p w14:paraId="55408A00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80 cm – w przypadku topoli, wierzb, klonu jesionolistnego oraz klonu srebrzystego,</w:t>
      </w:r>
    </w:p>
    <w:p w14:paraId="5F709DD9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1729" w:hanging="1049"/>
        <w:jc w:val="both"/>
        <w:outlineLvl w:val="0"/>
      </w:pPr>
      <w:r>
        <w:t>65 cm – w przypadku kasztanowca zwyczajnego, robinii akacjowej oraz platanu</w:t>
      </w:r>
      <w:r w:rsidR="0077338D">
        <w:t xml:space="preserve"> </w:t>
      </w:r>
      <w:proofErr w:type="spellStart"/>
      <w:r>
        <w:t>klonolistnego</w:t>
      </w:r>
      <w:proofErr w:type="spellEnd"/>
      <w:r>
        <w:t>,</w:t>
      </w:r>
    </w:p>
    <w:p w14:paraId="76DDB348" w14:textId="781F2F90" w:rsidR="00840FFE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50 cm – w przypadku pozostałych gatunków drzew;</w:t>
      </w:r>
    </w:p>
    <w:p w14:paraId="3233D4E2" w14:textId="77777777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 lub krzewów, które rosną na nieruchomościach stanowiących własność osób fizycznych i są usuwane na cele niezwiązane z prowadzeniem działalności gospodarczej;</w:t>
      </w:r>
    </w:p>
    <w:p w14:paraId="097AA22B" w14:textId="1EF13EBF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drzew lub krzewów usuwanych w celu przywrócenia gruntów nieużytkowan</w:t>
      </w:r>
      <w:r>
        <w:t xml:space="preserve">ych </w:t>
      </w:r>
      <w:r w:rsidR="0077338D">
        <w:br/>
      </w:r>
      <w:r>
        <w:t>do użytkowania rolniczego;</w:t>
      </w:r>
    </w:p>
    <w:p w14:paraId="40AC0A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na plantacjach lub w lasach w rozumieniu ustawy </w:t>
      </w:r>
      <w:r>
        <w:br/>
        <w:t>z dnia 28 września 1991 r. o lasach;</w:t>
      </w:r>
    </w:p>
    <w:p w14:paraId="2323BF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owocowych, z wyłączeniem rosnących na terenie nieruchomości wpisanej do rejestru zabytków lub na terenach zieleni;</w:t>
      </w:r>
    </w:p>
    <w:p w14:paraId="2D7E698F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w związku z funkcjonowaniem ogrodów botanicznych lub zoologicznych;</w:t>
      </w:r>
    </w:p>
    <w:p w14:paraId="65A44E8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na podstawie decyzji właściwego organu z obszarów położonych między linią brzegu a wałem przeciwpowodziowym lub naturalnym wysokim brzegiem, w który wbudowano trasę wału przeciwpowodziowego, </w:t>
      </w:r>
      <w:r>
        <w:br/>
        <w:t xml:space="preserve">z wału przeciwpowodziowego i terenu w odległości mniejszej niż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od stopy wału;</w:t>
      </w:r>
    </w:p>
    <w:p w14:paraId="6B65074D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krzewów, które utrudniają widoczność sygnalizatorów i pociągów, </w:t>
      </w:r>
      <w:r>
        <w:br/>
        <w:t xml:space="preserve">a także utrudniają eksploatację urządzeń kolejowych albo powodują tworzenie </w:t>
      </w:r>
      <w:r>
        <w:br/>
        <w:t>na torowiskach zasp śnieżnych, usuwanych na podstawie decyzji właściwego organu;</w:t>
      </w:r>
    </w:p>
    <w:p w14:paraId="1DD5FDA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przeszkody lotnicze, usuwanych na podstawie decyzji właściwego organu;</w:t>
      </w:r>
    </w:p>
    <w:p w14:paraId="357099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na podstawie decyzji właściwego organu ze względu na potrzeby związane z utrzymaniem urządzeń melioracji wodnych szczegółowych;</w:t>
      </w:r>
    </w:p>
    <w:p w14:paraId="3BC564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z obszaru parku narodowego lub rezerwatu przyrody nieobjętego ochroną krajobrazową;</w:t>
      </w:r>
    </w:p>
    <w:p w14:paraId="1EA9D7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w ramach zadań wynikających z planu ochrony </w:t>
      </w:r>
      <w:r>
        <w:br/>
        <w:t>lub zadań ochronnych parku narodowego lub rezerwatu przyrody, planu ochrony parku krajobrazowego, albo planu zadań ochronnych lub planu ochrony dla obszaru Natura 2000;</w:t>
      </w:r>
    </w:p>
    <w:p w14:paraId="74C4D9C5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prowadzenia akcji ratowniczej przez jednostki ochrony przeciwpożarowej lub inne właściwe służby ustawowo powołane do niesienia pomocy osobom w stanie nagłego zagrożenia życia lub zdrowia;</w:t>
      </w:r>
    </w:p>
    <w:p w14:paraId="3EE362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złomy lub wywroty usuwanych przez:</w:t>
      </w:r>
    </w:p>
    <w:p w14:paraId="34433C1F" w14:textId="77777777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 xml:space="preserve">jednostki ochrony przeciwpożarowej, jednostki Sił Zbrojnych Rzeczypospolitej Polskiej, </w:t>
      </w:r>
      <w:r w:rsidRPr="0018791E">
        <w:t xml:space="preserve">właścicieli urządzeń służących do doprowadzania lub odprowadzania płynów, pary, gazu, energii elektrycznej oraz innych urządzeń podobnych, nienależących do części składowych nieruchomości, jeżeli wchodzą w skład </w:t>
      </w:r>
      <w:r w:rsidRPr="0018791E">
        <w:lastRenderedPageBreak/>
        <w:t>przedsiębiorstwa</w:t>
      </w:r>
      <w:r w:rsidRPr="0018791E">
        <w:rPr>
          <w:rStyle w:val="Odwoanieprzypisudolnego"/>
        </w:rPr>
        <w:footnoteReference w:id="2"/>
      </w:r>
      <w:r w:rsidRPr="0018791E">
        <w:t>, zarządców dróg, zarządców infrastruktury kolejowej, gminne lub powiatowe jednostki oczyszczania lub inne podmioty działające w tym zakresie na zlecenie gminy lub powiatu,</w:t>
      </w:r>
    </w:p>
    <w:p w14:paraId="12665345" w14:textId="2C460588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18791E">
        <w:t xml:space="preserve">inne podmioty lub osoby, po przeprowadzeniu oględzin przez organ właściwy </w:t>
      </w:r>
      <w:r w:rsidRPr="0018791E">
        <w:br/>
        <w:t xml:space="preserve">do wydania zezwolenia na usunięcie drzewa lub krzewu potwierdzających, </w:t>
      </w:r>
      <w:r w:rsidRPr="0018791E">
        <w:br/>
        <w:t xml:space="preserve">że drzewa lub krzewy stanowią złom lub </w:t>
      </w:r>
      <w:proofErr w:type="spellStart"/>
      <w:r w:rsidRPr="0018791E">
        <w:t>wywr</w:t>
      </w:r>
      <w:r w:rsidR="00417DE5">
        <w:t>o</w:t>
      </w:r>
      <w:r w:rsidRPr="0018791E">
        <w:t>t</w:t>
      </w:r>
      <w:proofErr w:type="spellEnd"/>
      <w:r w:rsidRPr="0018791E">
        <w:t>;</w:t>
      </w:r>
    </w:p>
    <w:p w14:paraId="7A954804" w14:textId="77777777" w:rsidR="00840FFE" w:rsidRPr="0077338D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174AC8">
        <w:t>d</w:t>
      </w:r>
      <w:r>
        <w:t xml:space="preserve">rzew lub krzewów należących do gatunków obcych, określonych w przepisach </w:t>
      </w:r>
      <w:r w:rsidRPr="0077338D">
        <w:t>wydanych na podstawie art. 120 ust. 2f. ustawy z dnia 16 kwietnia 2004 r. o ochronie przyrody</w:t>
      </w:r>
    </w:p>
    <w:p w14:paraId="4BF8CC5F" w14:textId="77777777" w:rsidR="00840FFE" w:rsidRPr="0077338D" w:rsidRDefault="00840FFE" w:rsidP="00840FFE">
      <w:pPr>
        <w:pStyle w:val="Akapitzlist"/>
        <w:autoSpaceDE w:val="0"/>
        <w:autoSpaceDN w:val="0"/>
        <w:adjustRightInd w:val="0"/>
        <w:spacing w:line="276" w:lineRule="auto"/>
        <w:jc w:val="both"/>
      </w:pPr>
      <w:r w:rsidRPr="0077338D">
        <w:t>Drzewa</w:t>
      </w:r>
      <w:r w:rsidRPr="0077338D">
        <w:rPr>
          <w:rStyle w:val="Odwoanieprzypisudolnego"/>
        </w:rPr>
        <w:footnoteReference w:id="3"/>
      </w:r>
      <w:r w:rsidRPr="0077338D">
        <w:t>:</w:t>
      </w:r>
    </w:p>
    <w:p w14:paraId="22C5295D" w14:textId="77777777" w:rsidR="00840FFE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8046D">
        <w:t>bożodrzew gruczołowaty (ajlant gruczołkowaty)</w:t>
      </w:r>
      <w:r>
        <w:t>,</w:t>
      </w:r>
    </w:p>
    <w:p w14:paraId="00D087E4" w14:textId="77777777" w:rsidR="00840FFE" w:rsidRDefault="00840FFE" w:rsidP="00840FFE">
      <w:pPr>
        <w:autoSpaceDE w:val="0"/>
        <w:autoSpaceDN w:val="0"/>
        <w:adjustRightInd w:val="0"/>
        <w:spacing w:line="276" w:lineRule="auto"/>
        <w:ind w:left="709"/>
        <w:jc w:val="both"/>
      </w:pPr>
      <w:r>
        <w:t>Krzewy</w:t>
      </w:r>
      <w:r>
        <w:rPr>
          <w:rStyle w:val="Odwoanieprzypisudolnego"/>
        </w:rPr>
        <w:footnoteReference w:id="4"/>
      </w:r>
      <w:r>
        <w:t>:</w:t>
      </w:r>
    </w:p>
    <w:p w14:paraId="5AF9E4A8" w14:textId="77777777" w:rsidR="00840FFE" w:rsidRPr="0028046D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>brak</w:t>
      </w:r>
    </w:p>
    <w:p w14:paraId="3FC5EF07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C354B8">
        <w:t xml:space="preserve">Wydanie zezwolenia na usunięcie drzewa lub krzewu może być uzależnione </w:t>
      </w:r>
      <w:r>
        <w:br/>
      </w:r>
      <w:r w:rsidRPr="00C354B8">
        <w:t xml:space="preserve">od określonych przez organ nasadzeń zastępczych lub przesadzenia tego drzewa </w:t>
      </w:r>
      <w:r>
        <w:br/>
      </w:r>
      <w:r w:rsidRPr="00C354B8">
        <w:t>lub krzewu</w:t>
      </w:r>
      <w:r>
        <w:t>.</w:t>
      </w:r>
    </w:p>
    <w:p w14:paraId="276FB75C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Za usunięcie drzew lub krzewów posiadacz nieruchomości</w:t>
      </w:r>
      <w:r w:rsidRPr="004A1F5A">
        <w:t xml:space="preserve"> </w:t>
      </w:r>
      <w:r>
        <w:t>ponosi opłaty. Opłatę nalicza się w wydanym zezwoleniu, na podstawie stawek zależnych od obwodów pni oraz rodzajów i gatunków drzew lub powierzchni krzewów.</w:t>
      </w:r>
    </w:p>
    <w:p w14:paraId="03DA19C5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44C0E">
        <w:t>Nie nalicza się opłat za usunięcie:</w:t>
      </w:r>
    </w:p>
    <w:p w14:paraId="611B49C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na których usunięcie nie jest wymagane zezwolenie;</w:t>
      </w:r>
    </w:p>
    <w:p w14:paraId="6EE9F509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jeżeli usunięcie jest związane z odnową i pielęgnacją drzew rosnących na terenie nieruchomości wpisanej do rejestru zabytków;</w:t>
      </w:r>
    </w:p>
    <w:p w14:paraId="206A5EBF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krzewów, które zagrażają bezpieczeństwu ludzi lub mienia w istniejących obiektach budowlanych lub funkcjonowaniu urządzeń, o których mowa </w:t>
      </w:r>
      <w:r>
        <w:br/>
        <w:t>w art. 49 § 1 Kodeksu cywilnego;</w:t>
      </w:r>
    </w:p>
    <w:p w14:paraId="2BC17E4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zagrażają bezpieczeństwu ruchu drogowego lub kolejowego albo bezpieczeństwu żeglugi;</w:t>
      </w:r>
    </w:p>
    <w:p w14:paraId="39157EA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 w związku z przebudową dróg publicznych lub linii kolejowych;</w:t>
      </w:r>
    </w:p>
    <w:p w14:paraId="08A86386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drzew, których obwód pnia mierzony na wysokości 130 cm nie przekracza:</w:t>
      </w:r>
    </w:p>
    <w:p w14:paraId="3EFECE84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 xml:space="preserve">120 cm – w przypadku topoli, wierzb, kasztanowca zwyczajnego, klonu jesionolistnego, klonu srebrzystego, robinii akacjowej oraz platanu </w:t>
      </w:r>
      <w:proofErr w:type="spellStart"/>
      <w:r>
        <w:t>klonolistnego</w:t>
      </w:r>
      <w:proofErr w:type="spellEnd"/>
      <w:r>
        <w:t>,</w:t>
      </w:r>
    </w:p>
    <w:p w14:paraId="504578B1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80 cm – w przypadku pozostałych gatunków drzew</w:t>
      </w:r>
    </w:p>
    <w:p w14:paraId="1433F6DE" w14:textId="77777777" w:rsidR="00840FFE" w:rsidRDefault="00840FFE" w:rsidP="00840FFE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– w celu przywrócenia gruntów nieużytkowanych do użytkowania rolniczego </w:t>
      </w:r>
      <w:r>
        <w:br/>
        <w:t xml:space="preserve">lub do innego użytkowania zgodnego z przeznaczeniem terenu, określonym </w:t>
      </w:r>
      <w:r>
        <w:br/>
        <w:t>w miejscowym planie zagospodarowania przestrzennego lub decyzji o warunkach zabudowy i zagospodarowania terenu;</w:t>
      </w:r>
    </w:p>
    <w:p w14:paraId="289270F3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krzewu lub krzewów rosnących w skupiskach, pokrywających grunt o powierzchni </w:t>
      </w:r>
      <w:r>
        <w:br/>
        <w:t>do 50 m</w:t>
      </w:r>
      <w:r w:rsidRPr="007E00C7">
        <w:rPr>
          <w:vertAlign w:val="superscript"/>
        </w:rPr>
        <w:t>2</w:t>
      </w:r>
      <w:r>
        <w:t xml:space="preserve">, w celu przywrócenia gruntów nieużytkowanych do użytkowania innego </w:t>
      </w:r>
      <w:r>
        <w:br/>
      </w:r>
      <w:r>
        <w:lastRenderedPageBreak/>
        <w:t xml:space="preserve">niż rolnicze, zgodnego z przeznaczeniem terenu, określonym w miejscowym planie zagospodarowania przestrzennego lub decyzji o warunkach zabudowy </w:t>
      </w:r>
      <w:r>
        <w:br/>
        <w:t>i zagospodarowania terenu;</w:t>
      </w:r>
    </w:p>
    <w:p w14:paraId="1503ED00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 w związku z zabiegami pielęgnacyjnymi drzew lub krzewów </w:t>
      </w:r>
      <w:r>
        <w:br/>
        <w:t>na terenach zieleni;</w:t>
      </w:r>
    </w:p>
    <w:p w14:paraId="52A7E0DB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obumarły lub nie rokują szansy na przeżycie, z przyczyn niezależnych od posiadacza nieruchomości;</w:t>
      </w:r>
    </w:p>
    <w:p w14:paraId="0D6A12D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topoli o obwodzie pnia mierzonym na wysokości 130 cm wynoszącym </w:t>
      </w:r>
      <w:r>
        <w:br/>
        <w:t xml:space="preserve">powyżej 100 cm, nienależących do gatunków rodzimych, jeżeli zostaną zastąpione </w:t>
      </w:r>
      <w:r>
        <w:br/>
        <w:t>w najbliższym sezonie wegetacyjnym drzewami innych gatunków;</w:t>
      </w:r>
    </w:p>
    <w:p w14:paraId="3960ACED" w14:textId="43434516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wynika z potrzeb ochrony roślin, zwierząt </w:t>
      </w:r>
      <w:r w:rsidR="00417DE5">
        <w:br/>
      </w:r>
      <w:r w:rsidRPr="00417DE5">
        <w:t>i grzybów objętych ochroną gatunkową lub ochrony siedlisk przyrodniczych;</w:t>
      </w:r>
    </w:p>
    <w:p w14:paraId="4CD6C123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z grobli stawów rybnych;</w:t>
      </w:r>
    </w:p>
    <w:p w14:paraId="65BC28AA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jest związane z regulacją i utrzymaniem koryt cieków naturalnych, wykonywaniem i utrzymaniem urządzeń wodnych służących kształtowaniu zasobów wodnych oraz ochronie przeciwpowodziowej w zakresie niezbędnym </w:t>
      </w:r>
      <w:r w:rsidRPr="00417DE5">
        <w:br/>
        <w:t>do wykonania i utrzymania tych urządzeń;</w:t>
      </w:r>
    </w:p>
    <w:p w14:paraId="7E70F080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usuwanych z terenu poligonów lub placów ćwiczeń, służących obronności państwa.</w:t>
      </w:r>
    </w:p>
    <w:p w14:paraId="565B57C1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  <w:bookmarkStart w:id="0" w:name="_Hlk153366582"/>
    </w:p>
    <w:p w14:paraId="52774359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</w:p>
    <w:p w14:paraId="2A13BE04" w14:textId="0942605B" w:rsidR="00840FFE" w:rsidRPr="00443CCE" w:rsidRDefault="00840FFE" w:rsidP="001C3D35">
      <w:pPr>
        <w:pageBreakBefore/>
        <w:autoSpaceDE w:val="0"/>
        <w:autoSpaceDN w:val="0"/>
        <w:adjustRightInd w:val="0"/>
        <w:jc w:val="both"/>
        <w:rPr>
          <w:b/>
        </w:rPr>
      </w:pPr>
      <w:r w:rsidRPr="00443CCE">
        <w:rPr>
          <w:b/>
        </w:rPr>
        <w:lastRenderedPageBreak/>
        <w:t>SPRAWĘ ZAŁATWIA:</w:t>
      </w:r>
    </w:p>
    <w:p w14:paraId="5FCABDF1" w14:textId="77777777" w:rsidR="00417DE5" w:rsidRDefault="00417DE5" w:rsidP="00840FFE">
      <w:pPr>
        <w:autoSpaceDE w:val="0"/>
        <w:autoSpaceDN w:val="0"/>
        <w:adjustRightInd w:val="0"/>
        <w:spacing w:line="276" w:lineRule="auto"/>
        <w:jc w:val="both"/>
      </w:pPr>
      <w:r w:rsidRPr="00417DE5">
        <w:t>Departament Rolnictwa, Klimatu i Środowiska</w:t>
      </w:r>
    </w:p>
    <w:p w14:paraId="482CF975" w14:textId="51666202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al. IX Wieków Kielc 3, 25-516 Kielce</w:t>
      </w:r>
    </w:p>
    <w:p w14:paraId="006AE908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IV piętro, pokoje 407, 432</w:t>
      </w:r>
    </w:p>
    <w:p w14:paraId="1645372B" w14:textId="362CEF66" w:rsidR="00840FFE" w:rsidRDefault="00840FFE" w:rsidP="001C3D35">
      <w:pPr>
        <w:autoSpaceDE w:val="0"/>
        <w:autoSpaceDN w:val="0"/>
        <w:adjustRightInd w:val="0"/>
        <w:spacing w:line="276" w:lineRule="auto"/>
        <w:jc w:val="both"/>
      </w:pPr>
      <w:r>
        <w:t>telefon: 41 395-15-19, 41 395-16-93, 41 395-11-29</w:t>
      </w:r>
    </w:p>
    <w:p w14:paraId="19D6B3A9" w14:textId="77777777" w:rsidR="00417DE5" w:rsidRPr="002719EA" w:rsidRDefault="00417DE5" w:rsidP="001C3D35">
      <w:pPr>
        <w:spacing w:before="240" w:after="160" w:line="259" w:lineRule="auto"/>
        <w:jc w:val="center"/>
        <w:rPr>
          <w:rFonts w:eastAsia="Calibri"/>
          <w:b/>
          <w:bCs/>
          <w:kern w:val="2"/>
          <w:lang w:eastAsia="en-US"/>
        </w:rPr>
      </w:pPr>
      <w:bookmarkStart w:id="1" w:name="_Hlk183513723"/>
      <w:r w:rsidRPr="002719EA">
        <w:rPr>
          <w:rFonts w:eastAsia="Calibri"/>
          <w:b/>
          <w:bCs/>
          <w:kern w:val="2"/>
          <w:lang w:eastAsia="en-US"/>
        </w:rPr>
        <w:t>Ochrona Danych Osobowych „RODO”</w:t>
      </w:r>
    </w:p>
    <w:p w14:paraId="5CB721BA" w14:textId="1EF83BD0" w:rsidR="00417DE5" w:rsidRPr="002719EA" w:rsidRDefault="00417DE5" w:rsidP="001C3D35">
      <w:pPr>
        <w:spacing w:after="160" w:line="276" w:lineRule="auto"/>
        <w:ind w:firstLine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Zgodnie z art. 13 ust. 1 i 2 Rozporządzenia Parlamentu Europejskiego i Rady (UE) 2016/679 z dnia 27 kwietnia 2016 r. w sprawie ochrony osób fizycznych w związku </w:t>
      </w:r>
      <w:r w:rsidRPr="002719EA">
        <w:rPr>
          <w:rFonts w:eastAsia="Calibri"/>
          <w:kern w:val="2"/>
          <w:lang w:eastAsia="en-US"/>
        </w:rPr>
        <w:br/>
        <w:t xml:space="preserve">z przetwarzaniem danych osobowych i w sprawie swobodnego przepływu takich danych oraz uchylenia dyrektywy 95/46/WE (ogólne rozporządzenie o ochronie danych) (Dz. U. UE. L. </w:t>
      </w:r>
      <w:r w:rsidRPr="002719EA">
        <w:rPr>
          <w:rFonts w:eastAsia="Calibri"/>
          <w:kern w:val="2"/>
          <w:lang w:eastAsia="en-US"/>
        </w:rPr>
        <w:br/>
        <w:t xml:space="preserve">z 2016 r. Nr 119, str. 1 z </w:t>
      </w:r>
      <w:proofErr w:type="spellStart"/>
      <w:r w:rsidRPr="002719EA">
        <w:rPr>
          <w:rFonts w:eastAsia="Calibri"/>
          <w:kern w:val="2"/>
          <w:lang w:eastAsia="en-US"/>
        </w:rPr>
        <w:t>późn</w:t>
      </w:r>
      <w:proofErr w:type="spellEnd"/>
      <w:r w:rsidRPr="002719EA">
        <w:rPr>
          <w:rFonts w:eastAsia="Calibri"/>
          <w:kern w:val="2"/>
          <w:lang w:eastAsia="en-US"/>
        </w:rPr>
        <w:t xml:space="preserve">. zm.), dalej: RODO, informuję, iż: </w:t>
      </w:r>
    </w:p>
    <w:p w14:paraId="2210B0FE" w14:textId="547CCCA6" w:rsidR="00417DE5" w:rsidRPr="001C3D35" w:rsidRDefault="00417DE5" w:rsidP="001C3D35">
      <w:pPr>
        <w:numPr>
          <w:ilvl w:val="1"/>
          <w:numId w:val="8"/>
        </w:numPr>
        <w:spacing w:before="240"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Administratorem Pani/Pana danych osobowych jest Marszałek Województwa Świętokrzyskiego z siedzibą w Kielcach, al. IX Wieków Kielc 3, 25-516 Kielce, </w:t>
      </w:r>
      <w:r w:rsidRPr="002719EA">
        <w:rPr>
          <w:rFonts w:eastAsia="Calibri"/>
          <w:kern w:val="2"/>
          <w:lang w:eastAsia="en-US"/>
        </w:rPr>
        <w:br/>
        <w:t xml:space="preserve">tel.: 41/395-16-60, fax: 41/395-16-79, e-mail: </w:t>
      </w:r>
      <w:hyperlink r:id="rId7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urzad.marszalkowski@sejmik.kielce.pl</w:t>
        </w:r>
      </w:hyperlink>
      <w:r w:rsidRPr="002719EA">
        <w:rPr>
          <w:rFonts w:eastAsia="Calibri"/>
          <w:kern w:val="2"/>
          <w:lang w:eastAsia="en-US"/>
        </w:rPr>
        <w:t>.</w:t>
      </w:r>
    </w:p>
    <w:p w14:paraId="7562BED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Wyznaczono Inspektora Ochrony Danych, z którym można się kontaktować we wszystkich sprawach dotyczących przetwarzania danych osobowych oraz korzystania z praw związanych z przetwarzaniem Pani/Pana danych osobowych telefonicznie: 41/395-15-18, 41/395-11-06, e-mail: </w:t>
      </w:r>
      <w:hyperlink r:id="rId8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iod@sejmik.kielce.pl</w:t>
        </w:r>
      </w:hyperlink>
      <w:r w:rsidRPr="002719EA">
        <w:rPr>
          <w:rFonts w:eastAsia="Calibri"/>
          <w:kern w:val="2"/>
          <w:lang w:eastAsia="en-US"/>
        </w:rPr>
        <w:t xml:space="preserve"> lub pisemnie na adres: al. IX Wieków Kielc 3, 25-516 Kielce. </w:t>
      </w:r>
    </w:p>
    <w:p w14:paraId="68400B48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Pani/Pana dane osobowe będą przetwarzane w celu: </w:t>
      </w:r>
    </w:p>
    <w:p w14:paraId="7BFDA697" w14:textId="77777777" w:rsidR="00417DE5" w:rsidRPr="002719EA" w:rsidRDefault="00417DE5" w:rsidP="00417DE5">
      <w:pPr>
        <w:numPr>
          <w:ilvl w:val="2"/>
          <w:numId w:val="8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prowadzenia postępowań administracyjnych związanych z wydaniem zezwolenia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>na usunięcie drzew lub krzewów,</w:t>
      </w:r>
    </w:p>
    <w:p w14:paraId="35C4A4FE" w14:textId="6E1DB43C" w:rsidR="00417DE5" w:rsidRPr="001C3D35" w:rsidRDefault="00417DE5" w:rsidP="001C3D35">
      <w:pPr>
        <w:numPr>
          <w:ilvl w:val="2"/>
          <w:numId w:val="8"/>
        </w:numPr>
        <w:autoSpaceDE w:val="0"/>
        <w:autoSpaceDN w:val="0"/>
        <w:adjustRightInd w:val="0"/>
        <w:spacing w:after="360" w:line="276" w:lineRule="auto"/>
        <w:ind w:left="568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archiwizacji dokumentacji. </w:t>
      </w:r>
    </w:p>
    <w:p w14:paraId="53FA6C0E" w14:textId="77777777" w:rsidR="00417DE5" w:rsidRPr="002719EA" w:rsidRDefault="00417DE5" w:rsidP="001C3D35">
      <w:pPr>
        <w:numPr>
          <w:ilvl w:val="1"/>
          <w:numId w:val="8"/>
        </w:numPr>
        <w:spacing w:before="60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>Pani/Pana dane osobowe będą przetwarzane w związku z ustawą z dnia 16 kwietnia 2004 r. o ochronie przyrody, ustawą z dnia 14 czerwca 1960 r. kodeks postępowania administracyjnego oraz w związku z ustawą z dnia 14 lipca 1983 r. o narodowym zasobie archiwalnym i archiwach.</w:t>
      </w:r>
    </w:p>
    <w:p w14:paraId="49102F6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Odbiorcami Pani/Pana danych osobowych będą wyłącznie osoby upoważnione przez Administratora,  podmioty uprawnione do uzyskania danych osobowych na podstawie przepisów prawa, dostawcy usług pocztowych, kurierskich lub informatycznych. </w:t>
      </w:r>
      <w:r w:rsidRPr="002719EA">
        <w:rPr>
          <w:rFonts w:eastAsia="Calibri"/>
          <w:kern w:val="2"/>
          <w:lang w:val="x-none" w:eastAsia="en-US"/>
        </w:rPr>
        <w:br/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0CF64AFF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przekazywane do państwa trzeciego, ani do organizacji międzynarodowej.</w:t>
      </w:r>
    </w:p>
    <w:p w14:paraId="45482F72" w14:textId="1032117E" w:rsidR="00417DE5" w:rsidRPr="001C3D35" w:rsidRDefault="00417DE5" w:rsidP="001C3D35">
      <w:pPr>
        <w:numPr>
          <w:ilvl w:val="1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Dane osobowe będą przetwarzane przez okres niezbędny do realizacji celu, dla którego dane te zostały przekazane, z zastrzeżeniem, iż okres przechowywania danych osobowych może </w:t>
      </w:r>
      <w:r w:rsidRPr="002719EA">
        <w:rPr>
          <w:rFonts w:eastAsia="Calibri"/>
          <w:kern w:val="2"/>
          <w:lang w:eastAsia="en-US"/>
        </w:rPr>
        <w:lastRenderedPageBreak/>
        <w:t>zostać każdorazowo przedłużony o okres przewidziany przez przepisy prawa, jakie mogą mieć związek z realizacją niniejszego celu.</w:t>
      </w:r>
    </w:p>
    <w:p w14:paraId="7D51056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Przysługuje Pani/Panu od Administratora prawo do:</w:t>
      </w:r>
    </w:p>
    <w:p w14:paraId="284903DB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dostępu do treści danych osobowych i uzyskania ich kopii (art. 15 RODO); </w:t>
      </w:r>
    </w:p>
    <w:p w14:paraId="1425AE52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 sprostowania danych (art. 16 RODO);</w:t>
      </w:r>
    </w:p>
    <w:p w14:paraId="049D3764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ograniczenia przetwarzania danych (art. 18 RODO).</w:t>
      </w:r>
    </w:p>
    <w:p w14:paraId="1E62A24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Ma Pani/Pan prawo do wniesienia skargi z art. 77 RODO do organu nadzorczego,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tj. Prezesa Urzędu Ochrony Danych Osobowych z siedzibą w Warszawie, ul. Stawki 2,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00-193 Warszawa, gdy uzna Pani/Pan, że przetwarzanie danych osobowych Pani/Pana dotyczących narusza przepisy RODO. </w:t>
      </w:r>
    </w:p>
    <w:p w14:paraId="48F7C14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Podanie przez Panią/Pana danych osobowych jest wymogiem ustawowym. Konsekwencją niepodania danych będzie odmowa rozpoznania złożonego przez Panią/Pana wniosku. </w:t>
      </w:r>
    </w:p>
    <w:p w14:paraId="63BD971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wykorzystywane do zautomatyzowanego podejmowania decyzji, w tym profilowania,  o którym mowa w art. 22 ust. 1 i 4 RODO.</w:t>
      </w:r>
      <w:bookmarkEnd w:id="0"/>
      <w:bookmarkEnd w:id="1"/>
    </w:p>
    <w:sectPr w:rsidR="00417DE5" w:rsidRPr="0027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B8EA" w14:textId="77777777" w:rsidR="00060A12" w:rsidRDefault="00060A12" w:rsidP="00840FFE">
      <w:r>
        <w:separator/>
      </w:r>
    </w:p>
  </w:endnote>
  <w:endnote w:type="continuationSeparator" w:id="0">
    <w:p w14:paraId="3E067F94" w14:textId="77777777" w:rsidR="00060A12" w:rsidRDefault="00060A12" w:rsidP="008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00F54" w14:textId="77777777" w:rsidR="00060A12" w:rsidRDefault="00060A12" w:rsidP="00840FFE">
      <w:r>
        <w:separator/>
      </w:r>
    </w:p>
  </w:footnote>
  <w:footnote w:type="continuationSeparator" w:id="0">
    <w:p w14:paraId="3B637046" w14:textId="77777777" w:rsidR="00060A12" w:rsidRDefault="00060A12" w:rsidP="00840FFE">
      <w:r>
        <w:continuationSeparator/>
      </w:r>
    </w:p>
  </w:footnote>
  <w:footnote w:id="1">
    <w:p w14:paraId="2812401F" w14:textId="77777777" w:rsidR="00840FFE" w:rsidRDefault="00840FFE" w:rsidP="00840FFE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smartTag w:uri="urn:schemas-microsoft-com:office:smarttags" w:element="metricconverter">
        <w:smartTagPr>
          <w:attr w:name="ProductID" w:val="83f"/>
        </w:smartTagPr>
        <w:r>
          <w:t>83f</w:t>
        </w:r>
      </w:smartTag>
      <w:r>
        <w:t xml:space="preserve">  ustawy z dnia 16 kwietnia 2004 r. o ochronie przyrody</w:t>
      </w:r>
    </w:p>
  </w:footnote>
  <w:footnote w:id="2">
    <w:p w14:paraId="5F32A9F8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49 § 1 ustawy z dnia 23 kwietnia 1964 r. Kodeks cywilny</w:t>
      </w:r>
    </w:p>
  </w:footnote>
  <w:footnote w:id="3">
    <w:p w14:paraId="35AF7E97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>, 4</w:t>
      </w:r>
      <w:r>
        <w:t xml:space="preserve"> Załącznik do rozporządzenia Ministra Środowiska z dnia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2898251F" w14:textId="77777777" w:rsidR="00840FFE" w:rsidRDefault="00840FFE" w:rsidP="00840FF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156"/>
    <w:multiLevelType w:val="hybridMultilevel"/>
    <w:tmpl w:val="774E6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277"/>
    <w:multiLevelType w:val="hybridMultilevel"/>
    <w:tmpl w:val="006EE37C"/>
    <w:lvl w:ilvl="0" w:tplc="90E043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334B4D0">
      <w:start w:val="1"/>
      <w:numFmt w:val="decimal"/>
      <w:lvlText w:val="%2)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2" w:tplc="518CE36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81C"/>
    <w:multiLevelType w:val="hybridMultilevel"/>
    <w:tmpl w:val="B2609B86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69FC"/>
    <w:multiLevelType w:val="hybridMultilevel"/>
    <w:tmpl w:val="593A57EA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C065AF8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310"/>
    <w:multiLevelType w:val="hybridMultilevel"/>
    <w:tmpl w:val="5F2ECF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526F2"/>
    <w:multiLevelType w:val="hybridMultilevel"/>
    <w:tmpl w:val="A26EED7E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0EE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77C"/>
    <w:multiLevelType w:val="hybridMultilevel"/>
    <w:tmpl w:val="17F47058"/>
    <w:lvl w:ilvl="0" w:tplc="57BE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D1321"/>
    <w:multiLevelType w:val="hybridMultilevel"/>
    <w:tmpl w:val="030A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E0A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42BD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5462715">
    <w:abstractNumId w:val="7"/>
  </w:num>
  <w:num w:numId="2" w16cid:durableId="1580284734">
    <w:abstractNumId w:val="6"/>
  </w:num>
  <w:num w:numId="3" w16cid:durableId="2137336208">
    <w:abstractNumId w:val="5"/>
  </w:num>
  <w:num w:numId="4" w16cid:durableId="969701181">
    <w:abstractNumId w:val="3"/>
  </w:num>
  <w:num w:numId="5" w16cid:durableId="948122884">
    <w:abstractNumId w:val="2"/>
  </w:num>
  <w:num w:numId="6" w16cid:durableId="277494939">
    <w:abstractNumId w:val="4"/>
  </w:num>
  <w:num w:numId="7" w16cid:durableId="1294600008">
    <w:abstractNumId w:val="0"/>
  </w:num>
  <w:num w:numId="8" w16cid:durableId="94805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E"/>
    <w:rsid w:val="00060A12"/>
    <w:rsid w:val="00073CB4"/>
    <w:rsid w:val="001C3D35"/>
    <w:rsid w:val="002800E1"/>
    <w:rsid w:val="00417DE5"/>
    <w:rsid w:val="0077338D"/>
    <w:rsid w:val="00840FFE"/>
    <w:rsid w:val="00A71255"/>
    <w:rsid w:val="00A762BC"/>
    <w:rsid w:val="00AA1715"/>
    <w:rsid w:val="00E111B3"/>
    <w:rsid w:val="00EF3AE1"/>
    <w:rsid w:val="00F07B0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9C653"/>
  <w15:chartTrackingRefBased/>
  <w15:docId w15:val="{739B523D-5528-4262-9F85-672FAD6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840FFE"/>
    <w:rPr>
      <w:rFonts w:cs="Times New Roman"/>
      <w:vertAlign w:val="superscript"/>
    </w:rPr>
  </w:style>
  <w:style w:type="character" w:styleId="Pogrubienie">
    <w:name w:val="Strong"/>
    <w:uiPriority w:val="99"/>
    <w:qFormat/>
    <w:rsid w:val="00840FF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840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0F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F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84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Margiel, Ilona</cp:lastModifiedBy>
  <cp:revision>5</cp:revision>
  <dcterms:created xsi:type="dcterms:W3CDTF">2024-11-26T09:28:00Z</dcterms:created>
  <dcterms:modified xsi:type="dcterms:W3CDTF">2024-12-09T12:24:00Z</dcterms:modified>
</cp:coreProperties>
</file>