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7233" w14:textId="77777777" w:rsidR="00244BCB" w:rsidRPr="00011E2B" w:rsidRDefault="00244BCB" w:rsidP="000D1B2C">
      <w:pPr>
        <w:rPr>
          <w:color w:val="ED0000"/>
        </w:rPr>
      </w:pPr>
    </w:p>
    <w:p w14:paraId="6FE8DDB9" w14:textId="77777777" w:rsidR="000D1B2C" w:rsidRPr="00011E2B" w:rsidRDefault="000D1B2C" w:rsidP="000D1B2C">
      <w:pPr>
        <w:rPr>
          <w:color w:val="ED0000"/>
        </w:rPr>
      </w:pPr>
    </w:p>
    <w:p w14:paraId="538F022F" w14:textId="77777777" w:rsidR="000D1B2C" w:rsidRPr="00011E2B" w:rsidRDefault="000D1B2C" w:rsidP="000D1B2C">
      <w:pPr>
        <w:rPr>
          <w:color w:val="ED0000"/>
        </w:rPr>
      </w:pPr>
    </w:p>
    <w:p w14:paraId="3053A835" w14:textId="77777777" w:rsidR="000D1B2C" w:rsidRPr="00011E2B" w:rsidRDefault="000D1B2C" w:rsidP="000D1B2C">
      <w:pPr>
        <w:rPr>
          <w:color w:val="ED0000"/>
        </w:rPr>
      </w:pPr>
    </w:p>
    <w:p w14:paraId="1468B8A5" w14:textId="77777777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232EC9">
        <w:rPr>
          <w:rFonts w:asciiTheme="minorHAnsi" w:hAnsiTheme="minorHAnsi"/>
          <w:bCs/>
          <w:i/>
          <w:iCs/>
        </w:rPr>
        <w:t>7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10805F0C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27CAFF51" w14:textId="77777777" w:rsidR="00E73307" w:rsidRPr="00713A0C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Zamawiający:</w:t>
      </w:r>
    </w:p>
    <w:p w14:paraId="31B1837E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 xml:space="preserve">Województwo Świętokrzyskie </w:t>
      </w:r>
    </w:p>
    <w:p w14:paraId="020E540A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- Urząd Marszałkowski Województwa Świętokrzyskiego w Kielcach</w:t>
      </w:r>
    </w:p>
    <w:p w14:paraId="7ABAC03F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>al. IX Wieków Kielc 3, 25-516 Kielce</w:t>
      </w:r>
    </w:p>
    <w:p w14:paraId="696E2F11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43108B99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6CC8400D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94E19E6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24446B0B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6FCB3A58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628A2865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p w14:paraId="693C9038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="00615229">
        <w:rPr>
          <w:rFonts w:asciiTheme="minorHAnsi" w:hAnsiTheme="minorHAnsi" w:cstheme="minorHAnsi"/>
          <w:b/>
          <w:sz w:val="24"/>
          <w:szCs w:val="24"/>
        </w:rPr>
        <w:t>t.j</w:t>
      </w:r>
      <w:proofErr w:type="spellEnd"/>
      <w:r w:rsidR="0061522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Dz.U. </w:t>
      </w:r>
      <w:r w:rsidR="00615229">
        <w:rPr>
          <w:rFonts w:asciiTheme="minorHAnsi" w:hAnsiTheme="minorHAnsi" w:cstheme="minorHAnsi"/>
          <w:b/>
          <w:sz w:val="24"/>
          <w:szCs w:val="24"/>
        </w:rPr>
        <w:t xml:space="preserve">z 2023 r.,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poz. </w:t>
      </w:r>
      <w:r w:rsidR="00615229">
        <w:rPr>
          <w:rFonts w:asciiTheme="minorHAnsi" w:hAnsiTheme="minorHAnsi" w:cstheme="minorHAnsi"/>
          <w:b/>
          <w:sz w:val="24"/>
          <w:szCs w:val="24"/>
        </w:rPr>
        <w:t>1497</w:t>
      </w:r>
      <w:r w:rsidRPr="00713A0C">
        <w:rPr>
          <w:rFonts w:asciiTheme="minorHAnsi" w:hAnsiTheme="minorHAnsi" w:cstheme="minorHAnsi"/>
          <w:b/>
          <w:sz w:val="24"/>
          <w:szCs w:val="24"/>
        </w:rPr>
        <w:t>)</w:t>
      </w:r>
      <w:r w:rsidR="00615229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13A0C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537592E7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918A99" w14:textId="77777777" w:rsidR="00E73307" w:rsidRPr="00713A0C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 xml:space="preserve">na potrzeby postępowania </w:t>
      </w:r>
      <w:r w:rsidR="00615229">
        <w:rPr>
          <w:rFonts w:asciiTheme="minorHAnsi" w:hAnsiTheme="minorHAnsi" w:cstheme="minorHAnsi"/>
          <w:bCs/>
          <w:sz w:val="24"/>
          <w:szCs w:val="24"/>
        </w:rPr>
        <w:t>pt.</w:t>
      </w:r>
    </w:p>
    <w:p w14:paraId="4A7EF1E3" w14:textId="4BAC84DF" w:rsidR="00B51CA1" w:rsidRPr="00B51CA1" w:rsidRDefault="00615229" w:rsidP="00B51CA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B51CA1">
        <w:rPr>
          <w:rFonts w:asciiTheme="minorHAnsi" w:hAnsiTheme="minorHAnsi" w:cstheme="minorHAnsi"/>
          <w:b/>
          <w:bCs/>
          <w:sz w:val="24"/>
        </w:rPr>
        <w:t>„</w:t>
      </w:r>
      <w:r w:rsidR="00B51CA1" w:rsidRPr="00B51CA1">
        <w:rPr>
          <w:rFonts w:asciiTheme="minorHAnsi" w:hAnsiTheme="minorHAnsi" w:cstheme="minorHAnsi"/>
          <w:b/>
          <w:bCs/>
          <w:sz w:val="24"/>
        </w:rPr>
        <w:t>Kompleksowa usługa organizacji i przeprowadzenia 3 modułów szkoleń online z zakresu działań na rzecz rozwoju zaangażowania oraz zwiększenia aktywności JST w obszarze ekonomii społecznej oraz zatrudnienia socjalnego w 2024 roku</w:t>
      </w:r>
      <w:r w:rsidR="00FA0BC3">
        <w:rPr>
          <w:rFonts w:asciiTheme="minorHAnsi" w:hAnsiTheme="minorHAnsi" w:cstheme="minorHAnsi"/>
          <w:b/>
          <w:bCs/>
          <w:sz w:val="24"/>
        </w:rPr>
        <w:t>”</w:t>
      </w:r>
      <w:r w:rsidR="00B51CA1" w:rsidRPr="00B51CA1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312774C" w14:textId="34723E19" w:rsidR="00E73307" w:rsidRPr="0077718E" w:rsidRDefault="00E73307" w:rsidP="003800D2">
      <w:pPr>
        <w:spacing w:line="276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</w:p>
    <w:p w14:paraId="76774C50" w14:textId="71425180" w:rsidR="00E73307" w:rsidRPr="00713A0C" w:rsidRDefault="00E73307" w:rsidP="00E73307">
      <w:pPr>
        <w:tabs>
          <w:tab w:val="left" w:pos="709"/>
        </w:tabs>
        <w:spacing w:before="2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Ja/My </w:t>
      </w:r>
      <w:r w:rsidRPr="00615229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(imię i nazwisko)</w:t>
      </w: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.....................................</w:t>
      </w:r>
      <w:r w:rsidR="00FA0B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</w:t>
      </w: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</w:t>
      </w:r>
    </w:p>
    <w:p w14:paraId="59B791A0" w14:textId="77777777" w:rsidR="00E73307" w:rsidRPr="00713A0C" w:rsidRDefault="00E73307" w:rsidP="00E73307">
      <w:pPr>
        <w:spacing w:before="120" w:line="48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jako upoważniony/upoważnieni przedstawiciel/przedstawiciele</w:t>
      </w:r>
      <w:r w:rsidRPr="00713A0C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 wykonawcy: </w:t>
      </w:r>
    </w:p>
    <w:p w14:paraId="725A7B91" w14:textId="40C9C30C" w:rsidR="00E73307" w:rsidRPr="00713A0C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..........................................................……………………………………………</w:t>
      </w:r>
      <w:r w:rsidR="00FA0BC3">
        <w:rPr>
          <w:rFonts w:asciiTheme="minorHAnsi" w:hAnsiTheme="minorHAnsi" w:cstheme="minorHAnsi"/>
          <w:b/>
          <w:bCs/>
          <w:sz w:val="24"/>
          <w:szCs w:val="24"/>
        </w:rPr>
        <w:t>………….</w:t>
      </w:r>
      <w:r w:rsidRPr="00713A0C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</w:t>
      </w:r>
    </w:p>
    <w:p w14:paraId="14435EB7" w14:textId="77777777" w:rsidR="00E73307" w:rsidRPr="00615229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713A0C">
        <w:rPr>
          <w:rFonts w:asciiTheme="minorHAnsi" w:hAnsiTheme="minorHAnsi" w:cstheme="minorHAnsi"/>
          <w:bCs/>
          <w:i/>
          <w:sz w:val="24"/>
          <w:szCs w:val="24"/>
        </w:rPr>
        <w:t>(nazwa wykonawcy)</w:t>
      </w:r>
    </w:p>
    <w:p w14:paraId="779561D4" w14:textId="77777777" w:rsidR="00E73307" w:rsidRPr="00FA0BC3" w:rsidRDefault="00E73307" w:rsidP="003800D2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t xml:space="preserve">oświadczam, że nie </w:t>
      </w:r>
      <w:r w:rsidR="00615229" w:rsidRPr="003800D2">
        <w:rPr>
          <w:rFonts w:asciiTheme="minorHAnsi" w:hAnsiTheme="minorHAnsi" w:cstheme="minorHAnsi"/>
          <w:b/>
          <w:sz w:val="24"/>
          <w:szCs w:val="24"/>
        </w:rPr>
        <w:t xml:space="preserve">zachodzą w stosunku do mnie przesłanki wykluczenia z postępowania </w:t>
      </w:r>
      <w:r w:rsidR="00615229" w:rsidRPr="003800D2">
        <w:rPr>
          <w:rFonts w:asciiTheme="minorHAnsi" w:hAnsiTheme="minorHAnsi" w:cstheme="minorHAnsi"/>
          <w:bCs/>
          <w:sz w:val="24"/>
          <w:szCs w:val="24"/>
        </w:rPr>
        <w:t xml:space="preserve">na podstawie 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art. 7 ust. 1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ustawy z dnia 13 kwietnia 2022 r.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o szczególnych rozwiązaniach w zakresie przeciwdziałania</w:t>
      </w:r>
      <w:r w:rsidR="00615229"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wspieraniu agresji na Ukrainę oraz służących ochronie bezpieczeństwa narodowego</w:t>
      </w:r>
      <w:r w:rsidRPr="0038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0BC3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3800D2" w:rsidRPr="00FA0BC3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="003800D2" w:rsidRPr="00FA0BC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FA0BC3">
        <w:rPr>
          <w:rFonts w:asciiTheme="minorHAnsi" w:hAnsiTheme="minorHAnsi" w:cstheme="minorHAnsi"/>
          <w:bCs/>
          <w:sz w:val="24"/>
          <w:szCs w:val="24"/>
        </w:rPr>
        <w:t xml:space="preserve">Dz.U. </w:t>
      </w:r>
      <w:r w:rsidR="003800D2" w:rsidRPr="00FA0BC3">
        <w:rPr>
          <w:rFonts w:asciiTheme="minorHAnsi" w:hAnsiTheme="minorHAnsi" w:cstheme="minorHAnsi"/>
          <w:bCs/>
          <w:sz w:val="24"/>
          <w:szCs w:val="24"/>
        </w:rPr>
        <w:t xml:space="preserve">z 2023r., poz. 1497 z </w:t>
      </w:r>
      <w:proofErr w:type="spellStart"/>
      <w:r w:rsidR="003800D2" w:rsidRPr="00FA0BC3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3800D2" w:rsidRPr="00FA0BC3">
        <w:rPr>
          <w:rFonts w:asciiTheme="minorHAnsi" w:hAnsiTheme="minorHAnsi" w:cstheme="minorHAnsi"/>
          <w:bCs/>
          <w:sz w:val="24"/>
          <w:szCs w:val="24"/>
        </w:rPr>
        <w:t>. zm.)</w:t>
      </w:r>
      <w:r w:rsidR="003800D2" w:rsidRPr="00FA0BC3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Pr="00FA0BC3">
        <w:rPr>
          <w:rFonts w:asciiTheme="minorHAnsi" w:hAnsiTheme="minorHAnsi" w:cstheme="minorHAnsi"/>
          <w:bCs/>
          <w:sz w:val="24"/>
          <w:szCs w:val="24"/>
        </w:rPr>
        <w:t>,</w:t>
      </w:r>
    </w:p>
    <w:p w14:paraId="38D6E991" w14:textId="77777777" w:rsidR="00E73307" w:rsidRPr="00713A0C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CB3AB7" w14:textId="77777777" w:rsidR="003800D2" w:rsidRPr="003800D2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lastRenderedPageBreak/>
        <w:t>OŚWIADCZENIE DOTYCZĄCE PODANYCH INFORMACJI:</w:t>
      </w:r>
    </w:p>
    <w:p w14:paraId="3A984C8E" w14:textId="77777777" w:rsidR="00E73307" w:rsidRPr="00713A0C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iż wszystkie informacje podane w niniejszym oświadczeniu 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są </w:t>
      </w:r>
      <w:r>
        <w:rPr>
          <w:rFonts w:asciiTheme="minorHAnsi" w:hAnsiTheme="minorHAnsi" w:cstheme="minorHAnsi"/>
          <w:bCs/>
          <w:sz w:val="24"/>
          <w:szCs w:val="24"/>
        </w:rPr>
        <w:t>aktualne i zgodne z prawdą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 oraz zostały prze</w:t>
      </w:r>
      <w:r>
        <w:rPr>
          <w:rFonts w:asciiTheme="minorHAnsi" w:hAnsiTheme="minorHAnsi" w:cstheme="minorHAnsi"/>
          <w:bCs/>
          <w:sz w:val="24"/>
          <w:szCs w:val="24"/>
        </w:rPr>
        <w:t xml:space="preserve">dstawione z pełną świadomością konsekwencji wprowadzenia Zamawiającego w błąd przy przedstawianiu informacji. </w:t>
      </w:r>
    </w:p>
    <w:p w14:paraId="7FBDC7C3" w14:textId="77777777" w:rsidR="00E73307" w:rsidRPr="00011E2B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2EA57E6D" w14:textId="77777777" w:rsidR="00E73307" w:rsidRPr="00011E2B" w:rsidRDefault="00E73307" w:rsidP="00E73307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1DEFD55F" w14:textId="77777777" w:rsidR="00E73307" w:rsidRPr="00011E2B" w:rsidRDefault="00E73307" w:rsidP="00E73307">
      <w:pPr>
        <w:spacing w:line="360" w:lineRule="auto"/>
        <w:jc w:val="both"/>
        <w:rPr>
          <w:rFonts w:asciiTheme="minorHAnsi" w:hAnsiTheme="minorHAnsi" w:cstheme="minorHAnsi"/>
          <w:iCs/>
          <w:color w:val="ED0000"/>
          <w:sz w:val="24"/>
          <w:szCs w:val="24"/>
        </w:rPr>
      </w:pPr>
    </w:p>
    <w:p w14:paraId="14D952B7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7046E89B" w14:textId="77777777" w:rsidR="00E73307" w:rsidRPr="00B51CA1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B51CA1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="00713A0C" w:rsidRPr="00B51CA1">
        <w:rPr>
          <w:rFonts w:asciiTheme="minorHAnsi" w:hAnsiTheme="minorHAnsi" w:cstheme="minorHAnsi"/>
          <w:iCs/>
          <w:sz w:val="20"/>
        </w:rPr>
        <w:t xml:space="preserve"> </w:t>
      </w:r>
      <w:r w:rsidRPr="00B51CA1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B51CA1">
        <w:rPr>
          <w:rFonts w:asciiTheme="minorHAnsi" w:hAnsiTheme="minorHAnsi" w:cstheme="minorHAnsi"/>
          <w:iCs/>
          <w:sz w:val="20"/>
        </w:rPr>
        <w:t>Wykonawcy/</w:t>
      </w:r>
      <w:r w:rsidRPr="00B51CA1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B51CA1">
        <w:rPr>
          <w:rFonts w:asciiTheme="minorHAnsi" w:hAnsiTheme="minorHAnsi" w:cstheme="minorHAnsi"/>
          <w:iCs/>
          <w:sz w:val="20"/>
        </w:rPr>
        <w:t>ych</w:t>
      </w:r>
      <w:proofErr w:type="spellEnd"/>
      <w:r w:rsidRPr="00B51CA1">
        <w:rPr>
          <w:rFonts w:asciiTheme="minorHAnsi" w:hAnsiTheme="minorHAnsi" w:cstheme="minorHAnsi"/>
          <w:iCs/>
          <w:sz w:val="20"/>
        </w:rPr>
        <w:t xml:space="preserve"> </w:t>
      </w:r>
    </w:p>
    <w:p w14:paraId="6B567000" w14:textId="77777777" w:rsidR="00E73307" w:rsidRPr="00B51CA1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  <w:t xml:space="preserve">                                           </w:t>
      </w:r>
      <w:r w:rsidR="00B51CA1">
        <w:rPr>
          <w:rFonts w:asciiTheme="minorHAnsi" w:hAnsiTheme="minorHAnsi" w:cstheme="minorHAnsi"/>
          <w:iCs/>
          <w:sz w:val="20"/>
        </w:rPr>
        <w:t xml:space="preserve">     </w:t>
      </w:r>
      <w:r w:rsidRPr="00B51CA1">
        <w:rPr>
          <w:rFonts w:asciiTheme="minorHAnsi" w:hAnsiTheme="minorHAnsi" w:cstheme="minorHAnsi"/>
          <w:iCs/>
          <w:sz w:val="20"/>
        </w:rPr>
        <w:t xml:space="preserve">do reprezentowania </w:t>
      </w:r>
      <w:r w:rsidR="003800D2" w:rsidRPr="00B51CA1">
        <w:rPr>
          <w:rFonts w:asciiTheme="minorHAnsi" w:hAnsiTheme="minorHAnsi" w:cstheme="minorHAnsi"/>
          <w:iCs/>
          <w:sz w:val="20"/>
        </w:rPr>
        <w:t>W</w:t>
      </w:r>
      <w:r w:rsidRPr="00B51CA1">
        <w:rPr>
          <w:rFonts w:asciiTheme="minorHAnsi" w:hAnsiTheme="minorHAnsi" w:cstheme="minorHAnsi"/>
          <w:iCs/>
          <w:sz w:val="20"/>
        </w:rPr>
        <w:t>ykonawcy</w:t>
      </w:r>
    </w:p>
    <w:p w14:paraId="6E13AD34" w14:textId="77777777" w:rsidR="000D1B2C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62C1121B" w14:textId="77777777" w:rsidR="00FA0BC3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74FCBB67" w14:textId="77777777" w:rsidR="00FA0BC3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75615E2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FF7C24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9BC0EC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DDAAFB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E79C61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6D6AECB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440B09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E6BFF3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B2F2A0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1919868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C8F9B0B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6900915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FB6389F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89B3B2A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23C09C25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10EB82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EEA27CC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5102CE8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70C9675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42A2ED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A5A68A3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7E19E04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302D678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718A72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66861C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DF7CF73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C0FBEFC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1E3358B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BB23C4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4904A8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2339354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CE58E6E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E033DAE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22AA48ED" w14:textId="77777777" w:rsidR="00FA0BC3" w:rsidRPr="00011E2B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sectPr w:rsidR="00FA0BC3" w:rsidRPr="00011E2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9714A" w14:textId="77777777" w:rsidR="00E87D4C" w:rsidRDefault="00E87D4C" w:rsidP="00F03E88">
      <w:r>
        <w:separator/>
      </w:r>
    </w:p>
  </w:endnote>
  <w:endnote w:type="continuationSeparator" w:id="0">
    <w:p w14:paraId="4E194A92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5A01" w14:textId="77777777" w:rsidR="004C6DCD" w:rsidRDefault="00396E86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E8DF0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1AEAA8A0" w14:textId="77777777" w:rsidR="004C6DCD" w:rsidRDefault="00396E86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B51CA1">
          <w:rPr>
            <w:noProof/>
          </w:rPr>
          <w:t>2</w:t>
        </w:r>
        <w:r>
          <w:fldChar w:fldCharType="end"/>
        </w:r>
      </w:p>
    </w:sdtContent>
  </w:sdt>
  <w:p w14:paraId="3753B47A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EDC28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9E06" w14:textId="77777777" w:rsidR="00E87D4C" w:rsidRDefault="00E87D4C" w:rsidP="00F03E88">
      <w:r>
        <w:separator/>
      </w:r>
    </w:p>
  </w:footnote>
  <w:footnote w:type="continuationSeparator" w:id="0">
    <w:p w14:paraId="533D287C" w14:textId="77777777" w:rsidR="00E87D4C" w:rsidRDefault="00E87D4C" w:rsidP="00F03E88">
      <w:r>
        <w:continuationSeparator/>
      </w:r>
    </w:p>
  </w:footnote>
  <w:footnote w:id="1">
    <w:p w14:paraId="2C06D545" w14:textId="77777777" w:rsidR="00615229" w:rsidRPr="00B51CA1" w:rsidRDefault="00615229" w:rsidP="00B51CA1">
      <w:pPr>
        <w:pStyle w:val="Default"/>
        <w:jc w:val="both"/>
        <w:rPr>
          <w:rFonts w:ascii="Calibri" w:hAnsi="Calibri" w:cs="Calibri"/>
        </w:rPr>
      </w:pPr>
      <w:r w:rsidRPr="00B51CA1">
        <w:rPr>
          <w:rStyle w:val="Odwoanieprzypisudolnego"/>
        </w:rPr>
        <w:footnoteRef/>
      </w:r>
      <w:r w:rsidRPr="00B51CA1">
        <w:t xml:space="preserve"> </w:t>
      </w:r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1D307C2E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818A875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5036FBE" w14:textId="77777777" w:rsidR="00615229" w:rsidRPr="00B51CA1" w:rsidRDefault="00615229" w:rsidP="00B51CA1">
      <w:pPr>
        <w:pStyle w:val="Tekstprzypisudolnego"/>
        <w:jc w:val="both"/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FE27A54" w14:textId="77777777" w:rsidR="00E73307" w:rsidRPr="00B51CA1" w:rsidRDefault="00E73307" w:rsidP="00B51CA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B51CA1">
        <w:rPr>
          <w:rStyle w:val="Odwoanieprzypisudolnego"/>
          <w:i/>
          <w:sz w:val="16"/>
          <w:szCs w:val="16"/>
        </w:rPr>
        <w:footnoteRef/>
      </w:r>
      <w:r w:rsidRPr="00B51CA1">
        <w:rPr>
          <w:i/>
          <w:sz w:val="16"/>
          <w:szCs w:val="16"/>
        </w:rPr>
        <w:t xml:space="preserve"> </w:t>
      </w:r>
      <w:r w:rsidRPr="00B51CA1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686C2EB4" w14:textId="77777777" w:rsidTr="00321906">
      <w:trPr>
        <w:trHeight w:val="727"/>
      </w:trPr>
      <w:tc>
        <w:tcPr>
          <w:tcW w:w="10870" w:type="dxa"/>
        </w:tcPr>
        <w:p w14:paraId="50B762FD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265D6804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194893A6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14CE7E6A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2D19AD0E" w14:textId="77777777" w:rsidTr="00537A3C">
            <w:trPr>
              <w:trHeight w:val="996"/>
            </w:trPr>
            <w:tc>
              <w:tcPr>
                <w:tcW w:w="11437" w:type="dxa"/>
              </w:tcPr>
              <w:p w14:paraId="1D66A06E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49ED7731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05256492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1943BA64" wp14:editId="56523D4F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068FE8E5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9E640FA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7157A1F7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36027362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1711559D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0F0E27CD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4D10B3CC" w14:textId="77777777" w:rsidR="004C6DCD" w:rsidRPr="006E4A3E" w:rsidRDefault="004C6DCD" w:rsidP="004C6DCD"/>
      </w:tc>
    </w:tr>
  </w:tbl>
  <w:p w14:paraId="50D47229" w14:textId="77777777" w:rsidR="004C6DCD" w:rsidRDefault="004C6DCD">
    <w:pPr>
      <w:pStyle w:val="Nagwek"/>
    </w:pPr>
  </w:p>
  <w:p w14:paraId="012C7DF1" w14:textId="77777777" w:rsidR="004C6DCD" w:rsidRDefault="004C6DCD">
    <w:pPr>
      <w:pStyle w:val="Nagwek"/>
    </w:pPr>
  </w:p>
  <w:p w14:paraId="22E8415F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135">
    <w:abstractNumId w:val="23"/>
  </w:num>
  <w:num w:numId="2" w16cid:durableId="966666924">
    <w:abstractNumId w:val="11"/>
  </w:num>
  <w:num w:numId="3" w16cid:durableId="1024677045">
    <w:abstractNumId w:val="18"/>
  </w:num>
  <w:num w:numId="4" w16cid:durableId="1608075461">
    <w:abstractNumId w:val="6"/>
  </w:num>
  <w:num w:numId="5" w16cid:durableId="595332336">
    <w:abstractNumId w:val="13"/>
  </w:num>
  <w:num w:numId="6" w16cid:durableId="1036586351">
    <w:abstractNumId w:val="17"/>
  </w:num>
  <w:num w:numId="7" w16cid:durableId="118182715">
    <w:abstractNumId w:val="5"/>
  </w:num>
  <w:num w:numId="8" w16cid:durableId="1849053749">
    <w:abstractNumId w:val="7"/>
  </w:num>
  <w:num w:numId="9" w16cid:durableId="1150445845">
    <w:abstractNumId w:val="4"/>
  </w:num>
  <w:num w:numId="10" w16cid:durableId="1778208942">
    <w:abstractNumId w:val="19"/>
  </w:num>
  <w:num w:numId="11" w16cid:durableId="1525509494">
    <w:abstractNumId w:val="22"/>
  </w:num>
  <w:num w:numId="12" w16cid:durableId="664161649">
    <w:abstractNumId w:val="9"/>
  </w:num>
  <w:num w:numId="13" w16cid:durableId="1567257986">
    <w:abstractNumId w:val="1"/>
  </w:num>
  <w:num w:numId="14" w16cid:durableId="256715480">
    <w:abstractNumId w:val="14"/>
  </w:num>
  <w:num w:numId="15" w16cid:durableId="970094859">
    <w:abstractNumId w:val="21"/>
  </w:num>
  <w:num w:numId="16" w16cid:durableId="2040742859">
    <w:abstractNumId w:val="3"/>
  </w:num>
  <w:num w:numId="17" w16cid:durableId="247005489">
    <w:abstractNumId w:val="16"/>
  </w:num>
  <w:num w:numId="18" w16cid:durableId="1048458915">
    <w:abstractNumId w:val="20"/>
  </w:num>
  <w:num w:numId="19" w16cid:durableId="1041827532">
    <w:abstractNumId w:val="8"/>
  </w:num>
  <w:num w:numId="20" w16cid:durableId="845902106">
    <w:abstractNumId w:val="2"/>
  </w:num>
  <w:num w:numId="21" w16cid:durableId="2028797960">
    <w:abstractNumId w:val="12"/>
  </w:num>
  <w:num w:numId="22" w16cid:durableId="1072238186">
    <w:abstractNumId w:val="0"/>
  </w:num>
  <w:num w:numId="23" w16cid:durableId="109788588">
    <w:abstractNumId w:val="15"/>
  </w:num>
  <w:num w:numId="24" w16cid:durableId="204821218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2EC9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96E86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4BEF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5FAD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77F1F"/>
    <w:rsid w:val="00780AC7"/>
    <w:rsid w:val="00782428"/>
    <w:rsid w:val="00782471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2EBD"/>
    <w:rsid w:val="0085648F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1CA1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0F57"/>
    <w:rsid w:val="00C31E8C"/>
    <w:rsid w:val="00C32DE2"/>
    <w:rsid w:val="00C368EA"/>
    <w:rsid w:val="00C37E34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34A3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17626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0BC3"/>
    <w:rsid w:val="00FA290F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41B1C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DB970-92D6-42DE-B839-9D7313DA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20</cp:revision>
  <cp:lastPrinted>2024-06-05T06:02:00Z</cp:lastPrinted>
  <dcterms:created xsi:type="dcterms:W3CDTF">2023-01-17T10:56:00Z</dcterms:created>
  <dcterms:modified xsi:type="dcterms:W3CDTF">2024-06-07T08:27:00Z</dcterms:modified>
</cp:coreProperties>
</file>