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4A0" w:firstRow="1" w:lastRow="0" w:firstColumn="1" w:lastColumn="0" w:noHBand="0" w:noVBand="1"/>
      </w:tblPr>
      <w:tblGrid>
        <w:gridCol w:w="5825"/>
        <w:gridCol w:w="4809"/>
      </w:tblGrid>
      <w:tr w:rsidR="00BB34CA" w:rsidRPr="003121C1" w14:paraId="6BDC64C4" w14:textId="77777777" w:rsidTr="00FD60F5">
        <w:trPr>
          <w:trHeight w:val="759"/>
        </w:trPr>
        <w:tc>
          <w:tcPr>
            <w:tcW w:w="2739" w:type="pct"/>
          </w:tcPr>
          <w:p w14:paraId="78624317" w14:textId="77777777" w:rsidR="00BB34CA" w:rsidRPr="00EF3E3D" w:rsidRDefault="00BB34CA" w:rsidP="00FD60F5">
            <w:pPr>
              <w:rPr>
                <w:smallCaps/>
                <w:sz w:val="40"/>
              </w:rPr>
            </w:pPr>
          </w:p>
        </w:tc>
        <w:tc>
          <w:tcPr>
            <w:tcW w:w="2261" w:type="pct"/>
          </w:tcPr>
          <w:p w14:paraId="6CB4B6F9" w14:textId="77777777" w:rsidR="00BB34CA" w:rsidRPr="003121C1" w:rsidRDefault="00BB34CA" w:rsidP="00FD60F5">
            <w:pPr>
              <w:rPr>
                <w:smallCaps/>
                <w:sz w:val="40"/>
              </w:rPr>
            </w:pPr>
            <w:r w:rsidRPr="003121C1">
              <w:rPr>
                <w:noProof/>
              </w:rPr>
              <w:drawing>
                <wp:inline distT="0" distB="0" distL="0" distR="0" wp14:anchorId="4329859A" wp14:editId="2AF735B8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2AC37" w14:textId="77777777" w:rsidR="00BB34CA" w:rsidRDefault="00BB34CA" w:rsidP="00BB34CA">
      <w:pPr>
        <w:rPr>
          <w:color w:val="000000" w:themeColor="text1"/>
        </w:rPr>
      </w:pPr>
    </w:p>
    <w:p w14:paraId="44657AF1" w14:textId="77777777" w:rsidR="00BB34CA" w:rsidRPr="003121C1" w:rsidRDefault="00BB34CA" w:rsidP="00BB34CA">
      <w:pPr>
        <w:rPr>
          <w:color w:val="000000" w:themeColor="text1"/>
        </w:rPr>
      </w:pPr>
      <w:r w:rsidRPr="003121C1">
        <w:rPr>
          <w:color w:val="000000" w:themeColor="text1"/>
        </w:rPr>
        <w:t>KC-I.432.509.1.2022                                                                                     Kielce, dn.</w:t>
      </w:r>
      <w:r>
        <w:rPr>
          <w:color w:val="000000" w:themeColor="text1"/>
        </w:rPr>
        <w:t xml:space="preserve"> 28</w:t>
      </w:r>
      <w:r w:rsidRPr="003121C1">
        <w:rPr>
          <w:color w:val="000000" w:themeColor="text1"/>
        </w:rPr>
        <w:t>.12.2022 r.</w:t>
      </w:r>
    </w:p>
    <w:p w14:paraId="042A5BE7" w14:textId="77777777" w:rsidR="00BB34CA" w:rsidRPr="003121C1" w:rsidRDefault="00BB34CA" w:rsidP="00BB34CA">
      <w:pPr>
        <w:spacing w:line="360" w:lineRule="auto"/>
        <w:jc w:val="both"/>
        <w:rPr>
          <w:b/>
          <w:color w:val="000000" w:themeColor="text1"/>
          <w:highlight w:val="lightGray"/>
        </w:rPr>
      </w:pPr>
    </w:p>
    <w:p w14:paraId="68145E85" w14:textId="77777777" w:rsidR="00BB34CA" w:rsidRPr="003121C1" w:rsidRDefault="00BB34CA" w:rsidP="00BB34CA">
      <w:pPr>
        <w:spacing w:line="360" w:lineRule="auto"/>
        <w:jc w:val="center"/>
        <w:rPr>
          <w:b/>
          <w:color w:val="000000" w:themeColor="text1"/>
          <w:highlight w:val="lightGray"/>
        </w:rPr>
      </w:pPr>
    </w:p>
    <w:p w14:paraId="707AF798" w14:textId="77777777" w:rsidR="00BB34CA" w:rsidRPr="003121C1" w:rsidRDefault="00BB34CA" w:rsidP="00BB34CA">
      <w:pPr>
        <w:spacing w:line="360" w:lineRule="auto"/>
        <w:jc w:val="center"/>
        <w:rPr>
          <w:b/>
          <w:color w:val="000000" w:themeColor="text1"/>
        </w:rPr>
      </w:pPr>
      <w:r w:rsidRPr="003121C1">
        <w:rPr>
          <w:b/>
          <w:color w:val="000000" w:themeColor="text1"/>
        </w:rPr>
        <w:t>INFORMACJA POKONTROLNA NR</w:t>
      </w:r>
      <w:r w:rsidRPr="003121C1">
        <w:rPr>
          <w:b/>
        </w:rPr>
        <w:t xml:space="preserve"> KC-I.432.509.1.2022/MO-1 </w:t>
      </w:r>
    </w:p>
    <w:p w14:paraId="387975E9" w14:textId="77777777" w:rsidR="00BB34CA" w:rsidRPr="003121C1" w:rsidRDefault="00BB34CA" w:rsidP="00BB34CA">
      <w:pPr>
        <w:spacing w:line="360" w:lineRule="auto"/>
        <w:jc w:val="center"/>
        <w:rPr>
          <w:b/>
          <w:color w:val="000000" w:themeColor="text1"/>
          <w:highlight w:val="lightGray"/>
        </w:rPr>
      </w:pPr>
    </w:p>
    <w:p w14:paraId="26AD3081" w14:textId="77777777" w:rsidR="00BB34CA" w:rsidRPr="004319FD" w:rsidRDefault="00BB34CA" w:rsidP="00BB34CA">
      <w:pPr>
        <w:spacing w:line="360" w:lineRule="auto"/>
        <w:jc w:val="both"/>
      </w:pPr>
      <w:r w:rsidRPr="00545B0D">
        <w:rPr>
          <w:color w:val="000000" w:themeColor="text1"/>
        </w:rPr>
        <w:t xml:space="preserve">z kontroli w trakcie realizacji projektu nr RPSW.06.05.00-26-0045/17 pn. </w:t>
      </w:r>
      <w:r w:rsidRPr="00545B0D">
        <w:rPr>
          <w:bCs/>
        </w:rPr>
        <w:t>„</w:t>
      </w:r>
      <w:bookmarkStart w:id="0" w:name="_Hlk101337634"/>
      <w:r w:rsidRPr="00545B0D">
        <w:rPr>
          <w:bCs/>
        </w:rPr>
        <w:t xml:space="preserve">Kompleksowa </w:t>
      </w:r>
      <w:bookmarkEnd w:id="0"/>
      <w:r w:rsidRPr="00545B0D">
        <w:rPr>
          <w:bCs/>
        </w:rPr>
        <w:t>rewitalizacja</w:t>
      </w:r>
      <w:r>
        <w:rPr>
          <w:bCs/>
        </w:rPr>
        <w:t xml:space="preserve"> </w:t>
      </w:r>
      <w:r w:rsidRPr="00545B0D">
        <w:rPr>
          <w:bCs/>
        </w:rPr>
        <w:t>przestrzeni</w:t>
      </w:r>
      <w:r>
        <w:rPr>
          <w:bCs/>
        </w:rPr>
        <w:t xml:space="preserve"> </w:t>
      </w:r>
      <w:r w:rsidRPr="00545B0D">
        <w:rPr>
          <w:bCs/>
        </w:rPr>
        <w:t>publicznej</w:t>
      </w:r>
      <w:r>
        <w:rPr>
          <w:bCs/>
        </w:rPr>
        <w:t xml:space="preserve"> </w:t>
      </w:r>
      <w:r w:rsidRPr="00545B0D">
        <w:rPr>
          <w:bCs/>
        </w:rPr>
        <w:t>miasta</w:t>
      </w:r>
      <w:r>
        <w:rPr>
          <w:bCs/>
        </w:rPr>
        <w:t xml:space="preserve"> </w:t>
      </w:r>
      <w:r w:rsidRPr="00545B0D">
        <w:rPr>
          <w:bCs/>
        </w:rPr>
        <w:t>Chmielnik”</w:t>
      </w:r>
      <w:r w:rsidRPr="00545B0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 xml:space="preserve">realizowanego w ramach Działania </w:t>
      </w:r>
      <w:r w:rsidRPr="00545B0D">
        <w:t xml:space="preserve">6.5 </w:t>
      </w:r>
      <w:r>
        <w:t>-</w:t>
      </w:r>
      <w:r w:rsidRPr="00545B0D">
        <w:t>„</w:t>
      </w:r>
      <w:bookmarkStart w:id="1" w:name="_Hlk101337655"/>
      <w:r w:rsidRPr="00545B0D">
        <w:t>R</w:t>
      </w:r>
      <w:bookmarkEnd w:id="1"/>
      <w:r w:rsidRPr="00545B0D">
        <w:t>ewitalizacja obszarów miejskich i wiejskich”</w:t>
      </w:r>
      <w:r w:rsidRPr="00545B0D">
        <w:rPr>
          <w:color w:val="000000" w:themeColor="text1"/>
        </w:rPr>
        <w:t xml:space="preserve">, 6 Osi priorytetowej </w:t>
      </w:r>
      <w:r>
        <w:rPr>
          <w:color w:val="000000" w:themeColor="text1"/>
        </w:rPr>
        <w:t xml:space="preserve">- </w:t>
      </w:r>
      <w:r w:rsidRPr="00545B0D">
        <w:t xml:space="preserve">„Rozwój miast” </w:t>
      </w:r>
      <w:r w:rsidRPr="00545B0D">
        <w:rPr>
          <w:color w:val="000000" w:themeColor="text1"/>
        </w:rPr>
        <w:t xml:space="preserve">Regionalnego Programu Operacyjnego Województwa Świętokrzyskiego na lata 2014-2020, polegającej </w:t>
      </w:r>
      <w:r>
        <w:rPr>
          <w:color w:val="000000" w:themeColor="text1"/>
        </w:rPr>
        <w:br/>
      </w:r>
      <w:r w:rsidRPr="00545B0D">
        <w:rPr>
          <w:color w:val="000000" w:themeColor="text1"/>
        </w:rPr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545B0D">
        <w:rPr>
          <w:color w:val="000000" w:themeColor="text1"/>
        </w:rPr>
        <w:t>na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lata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2014-2020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w</w:t>
      </w:r>
      <w:r>
        <w:rPr>
          <w:color w:val="000000" w:themeColor="text1"/>
        </w:rPr>
        <w:t xml:space="preserve"> </w:t>
      </w:r>
      <w:r w:rsidRPr="00545B0D">
        <w:rPr>
          <w:color w:val="000000" w:themeColor="text1"/>
        </w:rPr>
        <w:t>dni</w:t>
      </w:r>
      <w:r>
        <w:rPr>
          <w:color w:val="000000" w:themeColor="text1"/>
        </w:rPr>
        <w:t>u</w:t>
      </w:r>
      <w:r w:rsidRPr="00545B0D">
        <w:rPr>
          <w:color w:val="000000" w:themeColor="text1"/>
        </w:rPr>
        <w:t xml:space="preserve"> </w:t>
      </w:r>
      <w:r>
        <w:rPr>
          <w:color w:val="000000" w:themeColor="text1"/>
        </w:rPr>
        <w:t>12.12.</w:t>
      </w:r>
      <w:r w:rsidRPr="00545B0D">
        <w:rPr>
          <w:color w:val="000000" w:themeColor="text1"/>
        </w:rPr>
        <w:t xml:space="preserve">2022 r. </w:t>
      </w:r>
      <w:r w:rsidRPr="004319FD">
        <w:t xml:space="preserve">oraz na zamieszczonych w dniu 20.12.2022 r. dodatkowych dokumentach. </w:t>
      </w:r>
    </w:p>
    <w:p w14:paraId="5D2A9BEE" w14:textId="77777777" w:rsidR="00BB34CA" w:rsidRPr="004319FD" w:rsidRDefault="00BB34CA" w:rsidP="00BB34CA">
      <w:pPr>
        <w:tabs>
          <w:tab w:val="left" w:pos="4065"/>
        </w:tabs>
        <w:spacing w:line="360" w:lineRule="auto"/>
        <w:jc w:val="both"/>
      </w:pPr>
      <w:r w:rsidRPr="004319FD">
        <w:tab/>
      </w:r>
    </w:p>
    <w:p w14:paraId="46ACD5D9" w14:textId="77777777" w:rsidR="00BB34CA" w:rsidRPr="00545B0D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I. INFORMACJE OGÓLNE:</w:t>
      </w:r>
    </w:p>
    <w:p w14:paraId="6F94BE3F" w14:textId="77777777" w:rsidR="00BB34CA" w:rsidRPr="00545B0D" w:rsidRDefault="00BB34CA" w:rsidP="00BB34CA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>1.</w:t>
      </w:r>
      <w:r w:rsidRPr="00545B0D">
        <w:rPr>
          <w:color w:val="000000" w:themeColor="text1"/>
        </w:rPr>
        <w:tab/>
        <w:t>Nazwa i adres badanego Beneficjenta:</w:t>
      </w:r>
    </w:p>
    <w:p w14:paraId="38535D9D" w14:textId="77777777" w:rsidR="00BB34CA" w:rsidRPr="00545B0D" w:rsidRDefault="00BB34CA" w:rsidP="00BB34CA">
      <w:pPr>
        <w:spacing w:line="360" w:lineRule="auto"/>
        <w:ind w:left="720"/>
        <w:rPr>
          <w:bCs/>
        </w:rPr>
      </w:pPr>
      <w:r w:rsidRPr="00545B0D">
        <w:rPr>
          <w:bCs/>
        </w:rPr>
        <w:t>Gmina Chmielnik</w:t>
      </w:r>
    </w:p>
    <w:p w14:paraId="713B2B12" w14:textId="77777777" w:rsidR="00BB34CA" w:rsidRPr="00545B0D" w:rsidRDefault="00BB34CA" w:rsidP="00BB34CA">
      <w:pPr>
        <w:spacing w:line="360" w:lineRule="auto"/>
        <w:ind w:left="720"/>
        <w:rPr>
          <w:bCs/>
        </w:rPr>
      </w:pPr>
      <w:r w:rsidRPr="00545B0D">
        <w:rPr>
          <w:bCs/>
        </w:rPr>
        <w:t>ul. Plac Kościuszki 7, 26-020 Chmielnik</w:t>
      </w:r>
    </w:p>
    <w:p w14:paraId="05F045FB" w14:textId="77777777" w:rsidR="00BB34CA" w:rsidRPr="00545B0D" w:rsidRDefault="00BB34CA" w:rsidP="00BB34CA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>2.</w:t>
      </w:r>
      <w:r w:rsidRPr="00545B0D">
        <w:rPr>
          <w:color w:val="000000" w:themeColor="text1"/>
        </w:rPr>
        <w:tab/>
        <w:t>Status prawny Beneficjenta:</w:t>
      </w:r>
    </w:p>
    <w:p w14:paraId="6DB96C26" w14:textId="77777777" w:rsidR="00BB34CA" w:rsidRPr="00545B0D" w:rsidRDefault="00BB34CA" w:rsidP="00BB34CA">
      <w:pPr>
        <w:spacing w:line="360" w:lineRule="auto"/>
        <w:ind w:left="708"/>
        <w:jc w:val="both"/>
        <w:rPr>
          <w:color w:val="000000" w:themeColor="text1"/>
        </w:rPr>
      </w:pPr>
      <w:r w:rsidRPr="00545B0D">
        <w:rPr>
          <w:color w:val="000000" w:themeColor="text1"/>
        </w:rPr>
        <w:t>Wspólnota samorządowa - gmina</w:t>
      </w:r>
    </w:p>
    <w:p w14:paraId="7D76CFF5" w14:textId="77777777" w:rsidR="00BB34CA" w:rsidRPr="00545B0D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II. PODSTAWA PRAWNA KONTROLI:</w:t>
      </w:r>
    </w:p>
    <w:p w14:paraId="5214E868" w14:textId="77777777" w:rsidR="00BB34CA" w:rsidRPr="00545B0D" w:rsidRDefault="00BB34CA" w:rsidP="00BB34CA">
      <w:pPr>
        <w:spacing w:line="360" w:lineRule="auto"/>
        <w:jc w:val="both"/>
        <w:rPr>
          <w:color w:val="000000" w:themeColor="text1"/>
        </w:rPr>
      </w:pPr>
      <w:r w:rsidRPr="00545B0D">
        <w:rPr>
          <w:color w:val="000000" w:themeColor="text1"/>
        </w:rPr>
        <w:t xml:space="preserve">Niniejszą kontrolę przeprowadzono na podstawie art. 23 ust. 1 w związku z art. 22 ust. 4 ustawy z dnia 11 lipca 2014 r. o zasadach realizacji programów w zakresie polityki spójności finansowanych </w:t>
      </w:r>
      <w:r w:rsidRPr="00545B0D">
        <w:rPr>
          <w:color w:val="000000" w:themeColor="text1"/>
        </w:rPr>
        <w:br/>
        <w:t xml:space="preserve">w perspektywie finansowej 2014-2020 (Dz.U. z 2020 r., poz. 818 j.t. z </w:t>
      </w:r>
      <w:proofErr w:type="spellStart"/>
      <w:r w:rsidRPr="00545B0D">
        <w:rPr>
          <w:color w:val="000000" w:themeColor="text1"/>
        </w:rPr>
        <w:t>późn</w:t>
      </w:r>
      <w:proofErr w:type="spellEnd"/>
      <w:r w:rsidRPr="00545B0D">
        <w:rPr>
          <w:color w:val="000000" w:themeColor="text1"/>
        </w:rPr>
        <w:t>. zm.).</w:t>
      </w:r>
    </w:p>
    <w:p w14:paraId="0724C81C" w14:textId="77777777" w:rsidR="00BB34CA" w:rsidRPr="00545B0D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545B0D">
        <w:rPr>
          <w:b/>
          <w:color w:val="000000" w:themeColor="text1"/>
        </w:rPr>
        <w:t>III. OBSZAR I CEL KONTROLI:</w:t>
      </w:r>
    </w:p>
    <w:p w14:paraId="291D83FC" w14:textId="77777777" w:rsidR="00BB34CA" w:rsidRPr="00AF3789" w:rsidRDefault="00BB34CA" w:rsidP="00BB34C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color w:val="000000" w:themeColor="text1"/>
          <w:sz w:val="24"/>
          <w:szCs w:val="24"/>
        </w:rPr>
        <w:br/>
      </w:r>
      <w:r w:rsidRPr="00AF3789">
        <w:rPr>
          <w:color w:val="000000" w:themeColor="text1"/>
          <w:sz w:val="24"/>
          <w:szCs w:val="24"/>
        </w:rPr>
        <w:t>w ramach realizacji projektu nr RPSW.06.05.00-26-0045/17.</w:t>
      </w:r>
    </w:p>
    <w:p w14:paraId="6C5D1BA8" w14:textId="77777777" w:rsidR="00BB34CA" w:rsidRPr="00AF3789" w:rsidRDefault="00BB34CA" w:rsidP="00BB34C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lastRenderedPageBreak/>
        <w:t>Weryfikacja obejmuje dokumenty dotyczące udzielania zamówień publicznych związanych                         z wydatkami przedstawionymi przez Beneficjenta we wniosku o płatność nr RPSW.06.05.00-26-0045/17-002.</w:t>
      </w:r>
    </w:p>
    <w:p w14:paraId="4AFAF650" w14:textId="77777777" w:rsidR="00BB34CA" w:rsidRPr="00AF3789" w:rsidRDefault="00BB34CA" w:rsidP="00BB34C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AF3789">
        <w:rPr>
          <w:color w:val="000000" w:themeColor="text1"/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18C845B0" w14:textId="77777777" w:rsidR="00BB34CA" w:rsidRPr="00AF3789" w:rsidRDefault="00BB34CA" w:rsidP="00BB34CA">
      <w:pPr>
        <w:tabs>
          <w:tab w:val="left" w:pos="2411"/>
        </w:tabs>
        <w:spacing w:line="360" w:lineRule="auto"/>
        <w:ind w:left="709"/>
        <w:rPr>
          <w:color w:val="000000" w:themeColor="text1"/>
        </w:rPr>
      </w:pPr>
      <w:r w:rsidRPr="00AF3789">
        <w:rPr>
          <w:color w:val="000000" w:themeColor="text1"/>
        </w:rPr>
        <w:t>- Pani Magdalena Okła - Główny Specjalista (kierownik Zespołu Kontrolnego),</w:t>
      </w:r>
    </w:p>
    <w:p w14:paraId="5626369F" w14:textId="77777777" w:rsidR="00BB34CA" w:rsidRPr="00AF3789" w:rsidRDefault="00BB34CA" w:rsidP="00BB34CA">
      <w:pPr>
        <w:tabs>
          <w:tab w:val="left" w:pos="2411"/>
        </w:tabs>
        <w:spacing w:line="360" w:lineRule="auto"/>
        <w:ind w:left="709"/>
        <w:rPr>
          <w:color w:val="000000" w:themeColor="text1"/>
        </w:rPr>
      </w:pPr>
      <w:r w:rsidRPr="00AF3789">
        <w:rPr>
          <w:color w:val="000000" w:themeColor="text1"/>
        </w:rPr>
        <w:t xml:space="preserve">- Pan Wojciech </w:t>
      </w:r>
      <w:proofErr w:type="spellStart"/>
      <w:r w:rsidRPr="00AF3789">
        <w:rPr>
          <w:color w:val="000000" w:themeColor="text1"/>
        </w:rPr>
        <w:t>Fąfara</w:t>
      </w:r>
      <w:proofErr w:type="spellEnd"/>
      <w:r w:rsidRPr="00AF3789">
        <w:rPr>
          <w:color w:val="000000" w:themeColor="text1"/>
        </w:rPr>
        <w:t xml:space="preserve"> - Główny Specjalista (członek Zespołu Kontrolnego).</w:t>
      </w:r>
    </w:p>
    <w:p w14:paraId="130A48C2" w14:textId="77777777" w:rsidR="00BB34CA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B56D42">
        <w:rPr>
          <w:b/>
          <w:color w:val="000000" w:themeColor="text1"/>
        </w:rPr>
        <w:t>IV. USTALENIA SZCZEGÓŁOWE:</w:t>
      </w:r>
    </w:p>
    <w:p w14:paraId="0C95E989" w14:textId="77777777" w:rsidR="00BB34CA" w:rsidRDefault="00BB34CA" w:rsidP="00BB34CA">
      <w:pPr>
        <w:spacing w:line="360" w:lineRule="auto"/>
        <w:jc w:val="both"/>
      </w:pPr>
      <w:r w:rsidRPr="007273ED">
        <w:t>W wyniku dokonanej weryfikacji dokumentów dotyczących zamówień udzielonych w ramach projektu nr RPSW.0</w:t>
      </w:r>
      <w:r>
        <w:t>6</w:t>
      </w:r>
      <w:r w:rsidRPr="007273ED">
        <w:t>.0</w:t>
      </w:r>
      <w:r>
        <w:t>5</w:t>
      </w:r>
      <w:r w:rsidRPr="007273ED">
        <w:t>.00-26-00</w:t>
      </w:r>
      <w:r>
        <w:t>45</w:t>
      </w:r>
      <w:r w:rsidRPr="007273ED">
        <w:t>/1</w:t>
      </w:r>
      <w:r>
        <w:t>7</w:t>
      </w:r>
      <w:r w:rsidRPr="007273ED">
        <w:t xml:space="preserve">, przesłanych do Instytucji Zarządzającej Regionalnym Programem Operacyjnym Województwa Świętokrzyskiego na lata 2014 – 2020 przez Beneficjenta </w:t>
      </w:r>
      <w:r>
        <w:br/>
      </w:r>
      <w:r w:rsidRPr="007273ED">
        <w:t>za pośrednictwem Centralnego systemu teleinformatycznego SL2014,</w:t>
      </w:r>
      <w:r>
        <w:t xml:space="preserve"> </w:t>
      </w:r>
      <w:r w:rsidRPr="007273ED">
        <w:t xml:space="preserve">Zespół Kontrolujący ustalił, </w:t>
      </w:r>
      <w:r>
        <w:br/>
      </w:r>
      <w:r w:rsidRPr="007273ED">
        <w:t xml:space="preserve">co </w:t>
      </w:r>
      <w:r w:rsidRPr="0048021C">
        <w:t>następuje:</w:t>
      </w:r>
    </w:p>
    <w:p w14:paraId="6E2CE2F1" w14:textId="77777777" w:rsidR="00BB34CA" w:rsidRPr="002D55A0" w:rsidRDefault="00BB34CA" w:rsidP="00BB34CA">
      <w:pPr>
        <w:spacing w:line="360" w:lineRule="auto"/>
        <w:jc w:val="both"/>
      </w:pPr>
      <w:r>
        <w:t>Stwierdzono, że Beneficjent przeprowadził w trybie wynikającym z</w:t>
      </w:r>
      <w:r w:rsidRPr="008E797E">
        <w:t xml:space="preserve"> </w:t>
      </w:r>
      <w:r w:rsidRPr="005703DB">
        <w:t xml:space="preserve">art. 275 pkt 1 ustawy z dnia </w:t>
      </w:r>
      <w:r>
        <w:br/>
      </w:r>
      <w:r w:rsidRPr="005703DB">
        <w:t xml:space="preserve">11 </w:t>
      </w:r>
      <w:r w:rsidRPr="002D55A0">
        <w:t>września 2019 r. Prawo zamówień publicznych (Dz. U. z 2019 r. poz. 2019)</w:t>
      </w:r>
      <w:r>
        <w:t xml:space="preserve"> n/w </w:t>
      </w:r>
      <w:r w:rsidRPr="002D55A0">
        <w:t>postępowa</w:t>
      </w:r>
      <w:r>
        <w:t xml:space="preserve">nia </w:t>
      </w:r>
      <w:r>
        <w:br/>
      </w:r>
      <w:r w:rsidRPr="002D55A0">
        <w:t>o udzielenie zamówie</w:t>
      </w:r>
      <w:r>
        <w:t>ń</w:t>
      </w:r>
      <w:r w:rsidRPr="002D55A0">
        <w:t xml:space="preserve"> publiczn</w:t>
      </w:r>
      <w:r>
        <w:t>ych</w:t>
      </w:r>
      <w:r w:rsidRPr="002D55A0">
        <w:t xml:space="preserve"> </w:t>
      </w:r>
    </w:p>
    <w:p w14:paraId="4B0B1DE7" w14:textId="77777777" w:rsidR="00BB34CA" w:rsidRDefault="00BB34CA" w:rsidP="00BB34CA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A7384">
        <w:rPr>
          <w:sz w:val="24"/>
          <w:szCs w:val="24"/>
        </w:rPr>
        <w:t>ostępowanie</w:t>
      </w:r>
      <w:r>
        <w:rPr>
          <w:sz w:val="24"/>
          <w:szCs w:val="24"/>
        </w:rPr>
        <w:t xml:space="preserve">, które </w:t>
      </w:r>
      <w:r w:rsidRPr="00755C7F">
        <w:rPr>
          <w:sz w:val="24"/>
          <w:szCs w:val="24"/>
        </w:rPr>
        <w:t>dotyczyło wyboru wykonawcy obiektu wystawienniczego i poprawę wizerunku przestrzeni publicznej miasta Chmielnik</w:t>
      </w:r>
      <w:r>
        <w:rPr>
          <w:sz w:val="24"/>
          <w:szCs w:val="24"/>
        </w:rPr>
        <w:t>,</w:t>
      </w:r>
      <w:r w:rsidRPr="002A7384">
        <w:rPr>
          <w:sz w:val="24"/>
          <w:szCs w:val="24"/>
        </w:rPr>
        <w:t xml:space="preserve"> zostało wszczęte </w:t>
      </w:r>
      <w:r>
        <w:rPr>
          <w:sz w:val="24"/>
          <w:szCs w:val="24"/>
        </w:rPr>
        <w:t xml:space="preserve">w dniu </w:t>
      </w:r>
      <w:r w:rsidRPr="002A7384">
        <w:rPr>
          <w:sz w:val="24"/>
          <w:szCs w:val="24"/>
        </w:rPr>
        <w:t>2</w:t>
      </w:r>
      <w:r>
        <w:rPr>
          <w:sz w:val="24"/>
          <w:szCs w:val="24"/>
        </w:rPr>
        <w:t>3 lutego</w:t>
      </w:r>
      <w:r w:rsidRPr="002A7384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A7384">
        <w:rPr>
          <w:sz w:val="24"/>
          <w:szCs w:val="24"/>
        </w:rPr>
        <w:t xml:space="preserve"> r. poprzez zamieszczenie </w:t>
      </w:r>
      <w:r w:rsidRPr="00755C7F">
        <w:rPr>
          <w:sz w:val="24"/>
          <w:szCs w:val="24"/>
        </w:rPr>
        <w:t>ogłoszenia o zamówieniu w Biuletynie Zamówień Publicznych pod numerem</w:t>
      </w:r>
      <w:r>
        <w:rPr>
          <w:sz w:val="24"/>
          <w:szCs w:val="24"/>
        </w:rPr>
        <w:t xml:space="preserve"> </w:t>
      </w:r>
      <w:r w:rsidRPr="00755C7F">
        <w:rPr>
          <w:sz w:val="24"/>
          <w:szCs w:val="24"/>
        </w:rPr>
        <w:t>2022/BZP00065645/01</w:t>
      </w:r>
      <w:r>
        <w:rPr>
          <w:sz w:val="24"/>
          <w:szCs w:val="24"/>
        </w:rPr>
        <w:t>.</w:t>
      </w:r>
      <w:r w:rsidRPr="00755C7F">
        <w:rPr>
          <w:sz w:val="24"/>
          <w:szCs w:val="24"/>
        </w:rPr>
        <w:t xml:space="preserve"> W odpowiedzi na opublikowane ogłoszenie o zamówieniu wpłynęły dwie oferty. Efektem rozstrzygnięcia postępowania było podpisanie w dniu 28 marca 2022 r. umowy nr 33/IPS/2022 pomiędzy Beneficjentem a Panem Pawłem Kmiecikiem, prowadzącym działalność gospodarczą pod nazwą Usługi Remontowo-Budowlane Paweł Kmiecik z siedzibą w Gnojnie, o wartości 1 597 397,72 zł netto. Beneficjent nie rozlicza odbioru końcowego przedmiotu umowy nr 33/IPS/2022 we wniosku o płatność </w:t>
      </w:r>
      <w:r>
        <w:rPr>
          <w:sz w:val="24"/>
          <w:szCs w:val="24"/>
        </w:rPr>
        <w:br/>
      </w:r>
      <w:r w:rsidRPr="00755C7F">
        <w:rPr>
          <w:sz w:val="24"/>
          <w:szCs w:val="24"/>
        </w:rPr>
        <w:t xml:space="preserve">nr RPSW.06.05.00-26-0045/17-002. </w:t>
      </w:r>
    </w:p>
    <w:p w14:paraId="0487058E" w14:textId="77777777" w:rsidR="00BB34CA" w:rsidRDefault="00BB34CA" w:rsidP="00BB34CA">
      <w:pPr>
        <w:pStyle w:val="Akapitzlist"/>
        <w:spacing w:line="360" w:lineRule="auto"/>
        <w:ind w:left="785"/>
        <w:contextualSpacing w:val="0"/>
        <w:jc w:val="both"/>
        <w:rPr>
          <w:sz w:val="24"/>
          <w:szCs w:val="24"/>
        </w:rPr>
      </w:pPr>
      <w:r w:rsidRPr="00F01A18">
        <w:rPr>
          <w:sz w:val="24"/>
          <w:szCs w:val="24"/>
        </w:rPr>
        <w:t xml:space="preserve">W wyniku weryfikacji dokumentów dotyczących w/w zamówienia, stwierdzono naruszenie art. 91 ust. 2 ustawy </w:t>
      </w:r>
      <w:proofErr w:type="spellStart"/>
      <w:r w:rsidRPr="00F01A18">
        <w:rPr>
          <w:sz w:val="24"/>
          <w:szCs w:val="24"/>
        </w:rPr>
        <w:t>Pzp</w:t>
      </w:r>
      <w:proofErr w:type="spellEnd"/>
      <w:r w:rsidRPr="00F01A18">
        <w:rPr>
          <w:sz w:val="24"/>
          <w:szCs w:val="24"/>
        </w:rPr>
        <w:t xml:space="preserve">, polegające na nie zamieszczeniu w </w:t>
      </w:r>
      <w:r>
        <w:rPr>
          <w:sz w:val="24"/>
          <w:szCs w:val="24"/>
        </w:rPr>
        <w:t>dokumentach zamówienia</w:t>
      </w:r>
      <w:r w:rsidRPr="00F01A18">
        <w:rPr>
          <w:sz w:val="24"/>
          <w:szCs w:val="24"/>
        </w:rPr>
        <w:t xml:space="preserve">, informacji dotyczącej powodów nie dokonania podziału zamówienia na części. Niepodanie powodów, dla których zamówienie nie zostało podzielone na części, IZ traktuje jako naruszenie przepisów </w:t>
      </w:r>
      <w:proofErr w:type="spellStart"/>
      <w:r w:rsidRPr="00F01A18">
        <w:rPr>
          <w:sz w:val="24"/>
          <w:szCs w:val="24"/>
        </w:rPr>
        <w:t>Pzp</w:t>
      </w:r>
      <w:proofErr w:type="spellEnd"/>
      <w:r w:rsidRPr="00F01A18">
        <w:rPr>
          <w:sz w:val="24"/>
          <w:szCs w:val="24"/>
        </w:rPr>
        <w:t>, nie</w:t>
      </w:r>
      <w:r>
        <w:rPr>
          <w:sz w:val="24"/>
          <w:szCs w:val="24"/>
        </w:rPr>
        <w:t xml:space="preserve"> </w:t>
      </w:r>
      <w:r w:rsidRPr="00F01A18">
        <w:rPr>
          <w:sz w:val="24"/>
          <w:szCs w:val="24"/>
        </w:rPr>
        <w:t>mające żadnego wpływu na wynik post</w:t>
      </w:r>
      <w:r>
        <w:rPr>
          <w:sz w:val="24"/>
          <w:szCs w:val="24"/>
        </w:rPr>
        <w:t>ę</w:t>
      </w:r>
      <w:r w:rsidRPr="00F01A18">
        <w:rPr>
          <w:sz w:val="24"/>
          <w:szCs w:val="24"/>
        </w:rPr>
        <w:t xml:space="preserve">powania, jak również w jej ocenie naruszenie to, nie miało wpływu na ograniczenie konkurencyjności z uwagi </w:t>
      </w:r>
      <w:r>
        <w:rPr>
          <w:sz w:val="24"/>
          <w:szCs w:val="24"/>
        </w:rPr>
        <w:br/>
      </w:r>
      <w:r w:rsidRPr="00F01A18">
        <w:rPr>
          <w:sz w:val="24"/>
          <w:szCs w:val="24"/>
        </w:rPr>
        <w:lastRenderedPageBreak/>
        <w:t xml:space="preserve">na przedmiot zamówienia, który realizowany jest w ramach jednego zadania inwestycyjnego, objętego jednym pozwoleniem na budowę. Zamówienie </w:t>
      </w:r>
      <w:r>
        <w:rPr>
          <w:sz w:val="24"/>
          <w:szCs w:val="24"/>
        </w:rPr>
        <w:t>jest</w:t>
      </w:r>
      <w:r w:rsidRPr="00F01A18">
        <w:rPr>
          <w:sz w:val="24"/>
          <w:szCs w:val="24"/>
        </w:rPr>
        <w:t xml:space="preserve"> realizowane na terenie rynku </w:t>
      </w:r>
      <w:r>
        <w:rPr>
          <w:sz w:val="24"/>
          <w:szCs w:val="24"/>
        </w:rPr>
        <w:br/>
      </w:r>
      <w:r w:rsidRPr="00F01A18">
        <w:rPr>
          <w:sz w:val="24"/>
          <w:szCs w:val="24"/>
        </w:rPr>
        <w:t xml:space="preserve">w centrum Chmielnika i udzielenie go kilku wykonawcom mogłoby spowodować utrudnienia w koordynowaniu robót przez różnych wykonawców oraz znaczne wydłużenie czasu trwania realizacji zadania. </w:t>
      </w:r>
    </w:p>
    <w:p w14:paraId="4AECDBDF" w14:textId="77777777" w:rsidR="00BB34CA" w:rsidRPr="003D0E58" w:rsidRDefault="00BB34CA" w:rsidP="00BB34CA">
      <w:pPr>
        <w:pStyle w:val="Akapitzlist"/>
        <w:spacing w:line="360" w:lineRule="auto"/>
        <w:ind w:left="785"/>
        <w:contextualSpacing w:val="0"/>
        <w:jc w:val="both"/>
        <w:rPr>
          <w:sz w:val="24"/>
          <w:szCs w:val="24"/>
        </w:rPr>
      </w:pPr>
      <w:r w:rsidRPr="00F01A18">
        <w:rPr>
          <w:sz w:val="24"/>
          <w:szCs w:val="24"/>
        </w:rPr>
        <w:t xml:space="preserve">Wyjaśnienie Beneficjenta stanowi </w:t>
      </w:r>
      <w:r w:rsidRPr="00F01A18">
        <w:rPr>
          <w:i/>
          <w:iCs/>
          <w:sz w:val="24"/>
          <w:szCs w:val="24"/>
        </w:rPr>
        <w:t>dowód nr 1</w:t>
      </w:r>
      <w:r w:rsidRPr="00F01A18">
        <w:rPr>
          <w:sz w:val="24"/>
          <w:szCs w:val="24"/>
        </w:rPr>
        <w:t xml:space="preserve"> do Informacji Pokontrolnej. </w:t>
      </w:r>
      <w:r w:rsidRPr="003D0E58">
        <w:rPr>
          <w:bCs/>
          <w:color w:val="000000" w:themeColor="text1"/>
          <w:sz w:val="24"/>
          <w:szCs w:val="24"/>
        </w:rPr>
        <w:t xml:space="preserve">Lista sprawdzająca dotycząca zamówienia stanowi </w:t>
      </w:r>
      <w:r w:rsidRPr="003D0E58">
        <w:rPr>
          <w:bCs/>
          <w:i/>
          <w:iCs/>
          <w:color w:val="000000" w:themeColor="text1"/>
          <w:sz w:val="24"/>
          <w:szCs w:val="24"/>
        </w:rPr>
        <w:t>dowód nr 2</w:t>
      </w:r>
      <w:r w:rsidRPr="003D0E58">
        <w:rPr>
          <w:bCs/>
          <w:color w:val="000000" w:themeColor="text1"/>
          <w:sz w:val="24"/>
          <w:szCs w:val="24"/>
        </w:rPr>
        <w:t xml:space="preserve"> do niniejszej Informacji Pokontrolnej.</w:t>
      </w:r>
    </w:p>
    <w:p w14:paraId="7BBBD831" w14:textId="77777777" w:rsidR="00BB34CA" w:rsidRPr="005D6549" w:rsidRDefault="00BB34CA" w:rsidP="00BB34CA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Pr="002A7384">
        <w:rPr>
          <w:sz w:val="24"/>
          <w:szCs w:val="24"/>
        </w:rPr>
        <w:t>ostępowanie</w:t>
      </w:r>
      <w:r>
        <w:rPr>
          <w:sz w:val="24"/>
          <w:szCs w:val="24"/>
        </w:rPr>
        <w:t>, które dotyczyło</w:t>
      </w:r>
      <w:r w:rsidRPr="002A7384">
        <w:rPr>
          <w:sz w:val="24"/>
          <w:szCs w:val="24"/>
        </w:rPr>
        <w:t xml:space="preserve"> wyboru wykonawcy</w:t>
      </w:r>
      <w:r>
        <w:rPr>
          <w:sz w:val="24"/>
          <w:szCs w:val="24"/>
        </w:rPr>
        <w:t xml:space="preserve"> rewitalizacji przestrzeni publicznej miasta Chmielnik obejmującą przebudowę trybun sportowych wraz z zagospodarowaniem terenu,</w:t>
      </w:r>
      <w:r w:rsidRPr="002A7384">
        <w:rPr>
          <w:sz w:val="24"/>
          <w:szCs w:val="24"/>
        </w:rPr>
        <w:t xml:space="preserve"> zostało wszczęte </w:t>
      </w:r>
      <w:r>
        <w:rPr>
          <w:sz w:val="24"/>
          <w:szCs w:val="24"/>
        </w:rPr>
        <w:t>4 kwietnia</w:t>
      </w:r>
      <w:r w:rsidRPr="002A7384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A7384">
        <w:rPr>
          <w:sz w:val="24"/>
          <w:szCs w:val="24"/>
        </w:rPr>
        <w:t xml:space="preserve"> r. poprzez zamieszczenie ogłoszenia </w:t>
      </w:r>
      <w:r>
        <w:rPr>
          <w:sz w:val="24"/>
          <w:szCs w:val="24"/>
        </w:rPr>
        <w:br/>
      </w:r>
      <w:r w:rsidRPr="002A738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zamówieniu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Biuletynie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Zamówień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Publicznych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pod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numerem</w:t>
      </w:r>
      <w:r>
        <w:rPr>
          <w:sz w:val="24"/>
          <w:szCs w:val="24"/>
        </w:rPr>
        <w:t xml:space="preserve"> </w:t>
      </w:r>
      <w:r w:rsidRPr="002A7384">
        <w:rPr>
          <w:sz w:val="24"/>
          <w:szCs w:val="24"/>
        </w:rPr>
        <w:t>nr 202</w:t>
      </w:r>
      <w:r>
        <w:rPr>
          <w:sz w:val="24"/>
          <w:szCs w:val="24"/>
        </w:rPr>
        <w:t>2/BZP00108700/01.</w:t>
      </w:r>
      <w:r w:rsidRPr="002A73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319FD">
        <w:rPr>
          <w:sz w:val="24"/>
          <w:szCs w:val="24"/>
        </w:rPr>
        <w:t xml:space="preserve">W odpowiedzi na opublikowane ogłoszenie o zamówieniu wpłynęły dwie oferty. </w:t>
      </w:r>
      <w:r w:rsidRPr="0070726B">
        <w:rPr>
          <w:sz w:val="24"/>
          <w:szCs w:val="24"/>
        </w:rPr>
        <w:t>Efektem rozstrzygnięcia postępowania było podpisanie w dniu 1</w:t>
      </w:r>
      <w:r>
        <w:rPr>
          <w:sz w:val="24"/>
          <w:szCs w:val="24"/>
        </w:rPr>
        <w:t>6</w:t>
      </w:r>
      <w:r w:rsidRPr="0070726B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70726B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70726B">
        <w:rPr>
          <w:sz w:val="24"/>
          <w:szCs w:val="24"/>
        </w:rPr>
        <w:t xml:space="preserve"> r. umowy nr </w:t>
      </w:r>
      <w:r>
        <w:rPr>
          <w:sz w:val="24"/>
          <w:szCs w:val="24"/>
        </w:rPr>
        <w:t>50/IPS/2022</w:t>
      </w:r>
      <w:r w:rsidRPr="0070726B">
        <w:rPr>
          <w:sz w:val="24"/>
          <w:szCs w:val="24"/>
        </w:rPr>
        <w:t xml:space="preserve"> pomiędzy Beneficjentem a </w:t>
      </w:r>
      <w:r>
        <w:rPr>
          <w:sz w:val="24"/>
          <w:szCs w:val="24"/>
        </w:rPr>
        <w:t>Zbigniewem Dziubą, prowadzącym działalność gospodarczą pod nazwą Usługi Remontowo-Budowlane Zbigniew Dziuba z siedzibą w Koniemłotach</w:t>
      </w:r>
      <w:r w:rsidRPr="0070726B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70726B">
        <w:rPr>
          <w:sz w:val="24"/>
          <w:szCs w:val="24"/>
        </w:rPr>
        <w:t>o wartości 1</w:t>
      </w:r>
      <w:r>
        <w:rPr>
          <w:sz w:val="24"/>
          <w:szCs w:val="24"/>
        </w:rPr>
        <w:t> 572 358</w:t>
      </w:r>
      <w:r w:rsidRPr="0070726B">
        <w:rPr>
          <w:sz w:val="24"/>
          <w:szCs w:val="24"/>
        </w:rPr>
        <w:t>,</w:t>
      </w:r>
      <w:r>
        <w:rPr>
          <w:sz w:val="24"/>
          <w:szCs w:val="24"/>
        </w:rPr>
        <w:t>85</w:t>
      </w:r>
      <w:r w:rsidRPr="0070726B">
        <w:rPr>
          <w:sz w:val="24"/>
          <w:szCs w:val="24"/>
        </w:rPr>
        <w:t xml:space="preserve"> zł netto. </w:t>
      </w:r>
      <w:r w:rsidRPr="003210FA">
        <w:rPr>
          <w:sz w:val="24"/>
          <w:szCs w:val="24"/>
        </w:rPr>
        <w:t xml:space="preserve">Przedmiot umowy nr </w:t>
      </w:r>
      <w:r>
        <w:rPr>
          <w:sz w:val="24"/>
          <w:szCs w:val="24"/>
        </w:rPr>
        <w:t xml:space="preserve">50/IPS/2022 </w:t>
      </w:r>
      <w:r w:rsidRPr="0070726B">
        <w:rPr>
          <w:sz w:val="24"/>
          <w:szCs w:val="24"/>
        </w:rPr>
        <w:t xml:space="preserve">został wykonany </w:t>
      </w:r>
      <w:r>
        <w:rPr>
          <w:sz w:val="24"/>
          <w:szCs w:val="24"/>
        </w:rPr>
        <w:br/>
      </w:r>
      <w:r w:rsidRPr="0070726B">
        <w:rPr>
          <w:sz w:val="24"/>
          <w:szCs w:val="24"/>
        </w:rPr>
        <w:t>w terminie, co znajduje</w:t>
      </w:r>
      <w:r>
        <w:rPr>
          <w:sz w:val="24"/>
          <w:szCs w:val="24"/>
        </w:rPr>
        <w:t xml:space="preserve"> potwierdzenie</w:t>
      </w:r>
      <w:r w:rsidRPr="0070726B">
        <w:rPr>
          <w:sz w:val="24"/>
          <w:szCs w:val="24"/>
        </w:rPr>
        <w:t xml:space="preserve"> w protokole odbioru z dnia </w:t>
      </w:r>
      <w:r>
        <w:rPr>
          <w:sz w:val="24"/>
          <w:szCs w:val="24"/>
        </w:rPr>
        <w:t>10</w:t>
      </w:r>
      <w:r w:rsidRPr="0070726B">
        <w:rPr>
          <w:sz w:val="24"/>
          <w:szCs w:val="24"/>
        </w:rPr>
        <w:t xml:space="preserve"> </w:t>
      </w:r>
      <w:r>
        <w:rPr>
          <w:sz w:val="24"/>
          <w:szCs w:val="24"/>
        </w:rPr>
        <w:t>listopada</w:t>
      </w:r>
      <w:r w:rsidRPr="0070726B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70726B">
        <w:rPr>
          <w:sz w:val="24"/>
          <w:szCs w:val="24"/>
        </w:rPr>
        <w:t xml:space="preserve"> r. </w:t>
      </w:r>
      <w:r w:rsidRPr="002D55A0">
        <w:rPr>
          <w:b/>
          <w:color w:val="000000" w:themeColor="text1"/>
        </w:rPr>
        <w:t xml:space="preserve">   </w:t>
      </w:r>
    </w:p>
    <w:p w14:paraId="7061DC5D" w14:textId="77777777" w:rsidR="00BB34CA" w:rsidRPr="005D6549" w:rsidRDefault="00BB34CA" w:rsidP="00BB34CA">
      <w:pPr>
        <w:pStyle w:val="Akapitzlist"/>
        <w:spacing w:line="360" w:lineRule="auto"/>
        <w:ind w:left="785"/>
        <w:contextualSpacing w:val="0"/>
        <w:jc w:val="both"/>
        <w:rPr>
          <w:color w:val="FF0000"/>
          <w:sz w:val="24"/>
          <w:szCs w:val="24"/>
        </w:rPr>
      </w:pPr>
      <w:r w:rsidRPr="005D6549">
        <w:rPr>
          <w:sz w:val="24"/>
          <w:szCs w:val="24"/>
        </w:rPr>
        <w:t xml:space="preserve">W wyniku weryfikacji dokumentów dotyczących w/w zamówienia, stwierdzono naruszenie art. 91 ust. 2 ustawy </w:t>
      </w:r>
      <w:proofErr w:type="spellStart"/>
      <w:r w:rsidRPr="005D6549">
        <w:rPr>
          <w:sz w:val="24"/>
          <w:szCs w:val="24"/>
        </w:rPr>
        <w:t>Pzp</w:t>
      </w:r>
      <w:proofErr w:type="spellEnd"/>
      <w:r w:rsidRPr="005D6549">
        <w:rPr>
          <w:sz w:val="24"/>
          <w:szCs w:val="24"/>
        </w:rPr>
        <w:t xml:space="preserve">, polegające na nie zamieszczeniu w dokumentach zamówienia, informacji dotyczącej powodów nie dokonania podziału zamówienia na części. Niepodanie powodów, dla których zamówienie nie zostało podzielone na części, IZ traktuje jako naruszenie przepisów </w:t>
      </w:r>
      <w:r>
        <w:rPr>
          <w:sz w:val="24"/>
          <w:szCs w:val="24"/>
        </w:rPr>
        <w:t xml:space="preserve">ustawy </w:t>
      </w:r>
      <w:proofErr w:type="spellStart"/>
      <w:r w:rsidRPr="005D6549">
        <w:rPr>
          <w:sz w:val="24"/>
          <w:szCs w:val="24"/>
        </w:rPr>
        <w:t>Pzp</w:t>
      </w:r>
      <w:proofErr w:type="spellEnd"/>
      <w:r w:rsidRPr="005D6549">
        <w:rPr>
          <w:sz w:val="24"/>
          <w:szCs w:val="24"/>
        </w:rPr>
        <w:t>, nie</w:t>
      </w:r>
      <w:r>
        <w:rPr>
          <w:sz w:val="24"/>
          <w:szCs w:val="24"/>
        </w:rPr>
        <w:t xml:space="preserve"> </w:t>
      </w:r>
      <w:r w:rsidRPr="005D6549">
        <w:rPr>
          <w:sz w:val="24"/>
          <w:szCs w:val="24"/>
        </w:rPr>
        <w:t>mające żadnego wpływu na wynik post</w:t>
      </w:r>
      <w:r>
        <w:rPr>
          <w:sz w:val="24"/>
          <w:szCs w:val="24"/>
        </w:rPr>
        <w:t>ę</w:t>
      </w:r>
      <w:r w:rsidRPr="005D6549">
        <w:rPr>
          <w:sz w:val="24"/>
          <w:szCs w:val="24"/>
        </w:rPr>
        <w:t xml:space="preserve">powania, jak również w jej ocenie naruszenie to, nie miało wpływu na ograniczenie konkurencyjności </w:t>
      </w:r>
      <w:r>
        <w:rPr>
          <w:sz w:val="24"/>
          <w:szCs w:val="24"/>
        </w:rPr>
        <w:br/>
      </w:r>
      <w:r w:rsidRPr="005D6549">
        <w:rPr>
          <w:sz w:val="24"/>
          <w:szCs w:val="24"/>
        </w:rPr>
        <w:t xml:space="preserve">z uwagi na przedmiot zamówienia, który realizowany jest w ramach jednego zadania inwestycyjnego, objętego jednym pozwoleniem na budowę. Przedmiotem zamówienia </w:t>
      </w:r>
      <w:r>
        <w:rPr>
          <w:sz w:val="24"/>
          <w:szCs w:val="24"/>
        </w:rPr>
        <w:br/>
      </w:r>
      <w:r w:rsidRPr="005D6549">
        <w:rPr>
          <w:sz w:val="24"/>
          <w:szCs w:val="24"/>
        </w:rPr>
        <w:t xml:space="preserve">są prace, które należy wykonać w tym samym czasie, a użyte technologie muszą być spójne </w:t>
      </w:r>
      <w:r>
        <w:rPr>
          <w:sz w:val="24"/>
          <w:szCs w:val="24"/>
        </w:rPr>
        <w:br/>
      </w:r>
      <w:r w:rsidRPr="005D6549">
        <w:rPr>
          <w:sz w:val="24"/>
          <w:szCs w:val="24"/>
        </w:rPr>
        <w:t>i kompatybilne ze sobą</w:t>
      </w:r>
      <w:r w:rsidRPr="005D6549">
        <w:rPr>
          <w:bCs/>
          <w:color w:val="000000" w:themeColor="text1"/>
          <w:sz w:val="24"/>
          <w:szCs w:val="24"/>
        </w:rPr>
        <w:t>.</w:t>
      </w:r>
      <w:r w:rsidRPr="005D6549">
        <w:rPr>
          <w:b/>
          <w:color w:val="000000" w:themeColor="text1"/>
          <w:sz w:val="24"/>
          <w:szCs w:val="24"/>
        </w:rPr>
        <w:t xml:space="preserve"> </w:t>
      </w:r>
      <w:r w:rsidRPr="005D6549">
        <w:rPr>
          <w:bCs/>
          <w:color w:val="000000" w:themeColor="text1"/>
          <w:sz w:val="24"/>
          <w:szCs w:val="24"/>
        </w:rPr>
        <w:t xml:space="preserve">Zasadne wiec jest, aby poszczególne prace w ramach tego zadania były wykonywane przez jednego wykonawcę i w jak najkrótszym czasie. </w:t>
      </w:r>
      <w:r w:rsidRPr="005D6549">
        <w:rPr>
          <w:sz w:val="24"/>
          <w:szCs w:val="24"/>
        </w:rPr>
        <w:t xml:space="preserve">Wyjaśnienie Beneficjenta stanowi </w:t>
      </w:r>
      <w:r w:rsidRPr="005D6549">
        <w:rPr>
          <w:i/>
          <w:iCs/>
          <w:sz w:val="24"/>
          <w:szCs w:val="24"/>
        </w:rPr>
        <w:t>dowód nr 3</w:t>
      </w:r>
      <w:r w:rsidRPr="005D6549">
        <w:rPr>
          <w:sz w:val="24"/>
          <w:szCs w:val="24"/>
        </w:rPr>
        <w:t xml:space="preserve"> do Informacji Pokontrolnej. </w:t>
      </w:r>
      <w:r w:rsidRPr="005D6549">
        <w:rPr>
          <w:bCs/>
          <w:color w:val="000000" w:themeColor="text1"/>
          <w:sz w:val="24"/>
          <w:szCs w:val="24"/>
        </w:rPr>
        <w:t xml:space="preserve">Lista sprawdzająca dotycząca zamówienia stanowi </w:t>
      </w:r>
      <w:r w:rsidRPr="005D6549">
        <w:rPr>
          <w:bCs/>
          <w:i/>
          <w:iCs/>
          <w:color w:val="000000" w:themeColor="text1"/>
          <w:sz w:val="24"/>
          <w:szCs w:val="24"/>
        </w:rPr>
        <w:t>dowód nr 4</w:t>
      </w:r>
      <w:r w:rsidRPr="005D6549">
        <w:rPr>
          <w:bCs/>
          <w:color w:val="000000" w:themeColor="text1"/>
          <w:sz w:val="24"/>
          <w:szCs w:val="24"/>
        </w:rPr>
        <w:t xml:space="preserve"> do niniejszej Informacji   Pokontrolnej.</w:t>
      </w:r>
    </w:p>
    <w:p w14:paraId="754FD2B2" w14:textId="77777777" w:rsidR="00BB34CA" w:rsidRDefault="00BB34CA" w:rsidP="00BB34CA">
      <w:pPr>
        <w:spacing w:line="360" w:lineRule="auto"/>
        <w:jc w:val="both"/>
        <w:rPr>
          <w:bCs/>
          <w:color w:val="000000" w:themeColor="text1"/>
        </w:rPr>
      </w:pPr>
    </w:p>
    <w:p w14:paraId="1252DAB2" w14:textId="77777777" w:rsidR="00BB34CA" w:rsidRDefault="00BB34CA" w:rsidP="00BB34CA">
      <w:pPr>
        <w:spacing w:line="360" w:lineRule="auto"/>
        <w:jc w:val="both"/>
        <w:rPr>
          <w:bCs/>
          <w:color w:val="000000" w:themeColor="text1"/>
        </w:rPr>
      </w:pPr>
    </w:p>
    <w:p w14:paraId="0F9CA506" w14:textId="77777777" w:rsidR="00BB34CA" w:rsidRPr="00310F0E" w:rsidRDefault="00BB34CA" w:rsidP="00BB34CA">
      <w:pPr>
        <w:spacing w:line="360" w:lineRule="auto"/>
        <w:jc w:val="both"/>
        <w:rPr>
          <w:bCs/>
          <w:color w:val="000000" w:themeColor="text1"/>
        </w:rPr>
      </w:pPr>
    </w:p>
    <w:p w14:paraId="0773A02A" w14:textId="77777777" w:rsidR="00BB34CA" w:rsidRPr="00310F0E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310F0E">
        <w:rPr>
          <w:b/>
          <w:color w:val="000000" w:themeColor="text1"/>
        </w:rPr>
        <w:lastRenderedPageBreak/>
        <w:t>V. REKOMENDACJE I ZALECENIA POKONTROLNE:</w:t>
      </w:r>
    </w:p>
    <w:p w14:paraId="79D41B95" w14:textId="77777777" w:rsidR="00BB34CA" w:rsidRPr="005D6549" w:rsidRDefault="00BB34CA" w:rsidP="00BB34CA">
      <w:pPr>
        <w:spacing w:line="360" w:lineRule="auto"/>
        <w:jc w:val="both"/>
        <w:rPr>
          <w:b/>
          <w:color w:val="000000" w:themeColor="text1"/>
          <w:u w:val="single"/>
        </w:rPr>
      </w:pPr>
      <w:r w:rsidRPr="005D6549">
        <w:rPr>
          <w:b/>
          <w:color w:val="000000" w:themeColor="text1"/>
          <w:u w:val="single"/>
        </w:rPr>
        <w:t>Ustalenia o niskim stopniu istotności:</w:t>
      </w:r>
    </w:p>
    <w:p w14:paraId="59332966" w14:textId="77777777" w:rsidR="00BB34CA" w:rsidRDefault="00BB34CA" w:rsidP="00BB34CA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związku ze stwierdzeniem naruszenia przez Beneficjenta </w:t>
      </w:r>
      <w:r>
        <w:rPr>
          <w:sz w:val="24"/>
          <w:szCs w:val="24"/>
        </w:rPr>
        <w:t xml:space="preserve">art. 91 ust. 2 ustawy z dnia </w:t>
      </w:r>
      <w:r>
        <w:rPr>
          <w:sz w:val="24"/>
          <w:szCs w:val="24"/>
        </w:rPr>
        <w:br/>
        <w:t>11 września 2019 r. Prawo zamówień publicznych</w:t>
      </w:r>
      <w:r>
        <w:rPr>
          <w:color w:val="000000"/>
          <w:sz w:val="24"/>
          <w:szCs w:val="24"/>
        </w:rPr>
        <w:t xml:space="preserve"> i zakwalifikowaniem go jako naruszenia </w:t>
      </w:r>
      <w:r>
        <w:rPr>
          <w:bCs/>
          <w:sz w:val="24"/>
          <w:szCs w:val="24"/>
        </w:rPr>
        <w:t>nie mające</w:t>
      </w:r>
      <w:r>
        <w:rPr>
          <w:sz w:val="24"/>
          <w:szCs w:val="24"/>
        </w:rPr>
        <w:t xml:space="preserve"> wpływu na wynik przeprowadzonego postępowania,</w:t>
      </w:r>
      <w:r>
        <w:rPr>
          <w:color w:val="000000"/>
          <w:sz w:val="24"/>
          <w:szCs w:val="24"/>
        </w:rPr>
        <w:t xml:space="preserve"> IZ RPOWŚ na lata 2014-2020 zaleca </w:t>
      </w:r>
      <w:r>
        <w:rPr>
          <w:color w:val="000000"/>
          <w:sz w:val="24"/>
          <w:szCs w:val="24"/>
        </w:rPr>
        <w:br/>
        <w:t xml:space="preserve">na </w:t>
      </w:r>
      <w:r>
        <w:rPr>
          <w:sz w:val="24"/>
          <w:szCs w:val="24"/>
        </w:rPr>
        <w:t>przyszłość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przestrzeganie zapisów </w:t>
      </w:r>
      <w:proofErr w:type="spellStart"/>
      <w:r>
        <w:rPr>
          <w:color w:val="000000"/>
          <w:sz w:val="24"/>
          <w:szCs w:val="24"/>
        </w:rPr>
        <w:t>Pzp</w:t>
      </w:r>
      <w:proofErr w:type="spellEnd"/>
      <w:r>
        <w:rPr>
          <w:color w:val="000000"/>
          <w:sz w:val="24"/>
          <w:szCs w:val="24"/>
        </w:rPr>
        <w:t xml:space="preserve"> i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dochowanie większej staranności w trakcie opracowywania dokumentacji dotyczącej postępowań w przypadku realizacji przedsięwzięć współfinansowanych z środków funduszy strukturalnych. </w:t>
      </w:r>
    </w:p>
    <w:p w14:paraId="1AC81B14" w14:textId="77777777" w:rsidR="00BB34CA" w:rsidRPr="00AC2DFF" w:rsidRDefault="00BB34CA" w:rsidP="00BB34CA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</w:p>
    <w:p w14:paraId="09C38CC2" w14:textId="77777777" w:rsidR="00BB34CA" w:rsidRPr="008262D8" w:rsidRDefault="00BB34CA" w:rsidP="00BB34CA">
      <w:pPr>
        <w:spacing w:line="360" w:lineRule="auto"/>
        <w:ind w:firstLine="708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Niniejsza Informacja Pokontrolna zawiera </w:t>
      </w:r>
      <w:r w:rsidRPr="00123589">
        <w:t xml:space="preserve">4 </w:t>
      </w:r>
      <w:r w:rsidRPr="008262D8">
        <w:rPr>
          <w:color w:val="000000" w:themeColor="text1"/>
        </w:rPr>
        <w:t>stron</w:t>
      </w:r>
      <w:r>
        <w:rPr>
          <w:color w:val="000000" w:themeColor="text1"/>
        </w:rPr>
        <w:t>y</w:t>
      </w:r>
      <w:r w:rsidRPr="008262D8">
        <w:rPr>
          <w:color w:val="000000" w:themeColor="text1"/>
        </w:rPr>
        <w:t xml:space="preserve"> oraz </w:t>
      </w:r>
      <w:r>
        <w:rPr>
          <w:color w:val="000000" w:themeColor="text1"/>
        </w:rPr>
        <w:t>4</w:t>
      </w:r>
      <w:r w:rsidRPr="008262D8">
        <w:rPr>
          <w:color w:val="000000" w:themeColor="text1"/>
        </w:rPr>
        <w:t xml:space="preserve"> dowody, które dostępne </w:t>
      </w:r>
      <w:r w:rsidRPr="008262D8">
        <w:rPr>
          <w:color w:val="000000" w:themeColor="text1"/>
        </w:rPr>
        <w:br/>
        <w:t>są do wglądu w siedzibie Departamentu Kontroli i Certyfikacji RPO, ul. Witosa  86, 25 – 561 Kielce.</w:t>
      </w:r>
    </w:p>
    <w:p w14:paraId="2DFBB4B0" w14:textId="77777777" w:rsidR="00BB34CA" w:rsidRPr="008262D8" w:rsidRDefault="00BB34CA" w:rsidP="00BB34CA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>Dokument sporządzono w dwóch jednobrzmiących egzemplarzach, z których jeden zostaje przekazany Beneficjentowi. Drugi egzemplarz oznaczony terminem „do zwrotu” należy odesłać</w:t>
      </w:r>
      <w:r w:rsidRPr="008262D8">
        <w:rPr>
          <w:color w:val="000000" w:themeColor="text1"/>
        </w:rPr>
        <w:br/>
        <w:t>na podany powyżej adres w terminie 14 dni od dnia otrzymania Informacji Pokontrolnej.</w:t>
      </w:r>
    </w:p>
    <w:p w14:paraId="2C4F7EFC" w14:textId="77777777" w:rsidR="00BB34CA" w:rsidRPr="008262D8" w:rsidRDefault="00BB34CA" w:rsidP="00BB34CA">
      <w:pPr>
        <w:spacing w:line="360" w:lineRule="auto"/>
        <w:ind w:firstLine="567"/>
        <w:jc w:val="both"/>
        <w:rPr>
          <w:color w:val="000000" w:themeColor="text1"/>
        </w:rPr>
      </w:pPr>
      <w:r w:rsidRPr="008262D8">
        <w:rPr>
          <w:color w:val="000000" w:themeColor="text1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0C7421F" w14:textId="77777777" w:rsidR="00BB34CA" w:rsidRPr="008262D8" w:rsidRDefault="00BB34CA" w:rsidP="00BB34CA">
      <w:pPr>
        <w:spacing w:line="360" w:lineRule="auto"/>
        <w:ind w:firstLine="567"/>
        <w:jc w:val="both"/>
        <w:rPr>
          <w:color w:val="000000" w:themeColor="text1"/>
        </w:rPr>
      </w:pPr>
      <w:r w:rsidRPr="008262D8">
        <w:rPr>
          <w:color w:val="000000" w:themeColor="text1"/>
        </w:rPr>
        <w:t>Kierownik Jednostki Kontrolowanej może odmówić podpisania Informacji Pokontrolnej informując na piśmie Instytucję Zarządzającą o przyczynach takiej decyzji.</w:t>
      </w:r>
    </w:p>
    <w:p w14:paraId="7740580E" w14:textId="77777777" w:rsidR="00BB34CA" w:rsidRPr="003121C1" w:rsidRDefault="00BB34CA" w:rsidP="00BB34CA">
      <w:pPr>
        <w:spacing w:line="360" w:lineRule="auto"/>
        <w:jc w:val="both"/>
        <w:rPr>
          <w:b/>
          <w:color w:val="000000" w:themeColor="text1"/>
          <w:highlight w:val="lightGray"/>
        </w:rPr>
      </w:pPr>
    </w:p>
    <w:p w14:paraId="7A7F0526" w14:textId="77777777" w:rsidR="00BB34CA" w:rsidRPr="008262D8" w:rsidRDefault="00BB34CA" w:rsidP="00BB34CA">
      <w:pPr>
        <w:spacing w:line="360" w:lineRule="auto"/>
        <w:jc w:val="both"/>
        <w:rPr>
          <w:b/>
          <w:color w:val="000000" w:themeColor="text1"/>
        </w:rPr>
      </w:pPr>
      <w:r w:rsidRPr="008262D8">
        <w:rPr>
          <w:b/>
          <w:color w:val="000000" w:themeColor="text1"/>
        </w:rPr>
        <w:t xml:space="preserve">Kontrolujący:      </w:t>
      </w:r>
    </w:p>
    <w:p w14:paraId="75F5761E" w14:textId="77777777" w:rsidR="00BB34CA" w:rsidRDefault="00BB34CA" w:rsidP="00BB34CA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Magdalena Okła: </w:t>
      </w:r>
      <w:r>
        <w:rPr>
          <w:color w:val="000000" w:themeColor="text1"/>
        </w:rPr>
        <w:tab/>
      </w:r>
      <w:r w:rsidRPr="008262D8">
        <w:rPr>
          <w:color w:val="000000" w:themeColor="text1"/>
        </w:rPr>
        <w:t xml:space="preserve">…………………… </w:t>
      </w:r>
    </w:p>
    <w:p w14:paraId="64C14BB7" w14:textId="77777777" w:rsidR="00BB34CA" w:rsidRPr="008262D8" w:rsidRDefault="00BB34CA" w:rsidP="00BB34CA">
      <w:pPr>
        <w:spacing w:line="360" w:lineRule="auto"/>
        <w:jc w:val="both"/>
        <w:rPr>
          <w:color w:val="000000" w:themeColor="text1"/>
        </w:rPr>
      </w:pPr>
    </w:p>
    <w:p w14:paraId="66829E32" w14:textId="77777777" w:rsidR="00BB34CA" w:rsidRPr="008262D8" w:rsidRDefault="00BB34CA" w:rsidP="00BB34CA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Wojciech </w:t>
      </w:r>
      <w:proofErr w:type="spellStart"/>
      <w:r w:rsidRPr="008262D8">
        <w:rPr>
          <w:color w:val="000000" w:themeColor="text1"/>
        </w:rPr>
        <w:t>Fąfara</w:t>
      </w:r>
      <w:proofErr w:type="spellEnd"/>
      <w:r w:rsidRPr="008262D8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  <w:r w:rsidRPr="008262D8">
        <w:rPr>
          <w:color w:val="000000" w:themeColor="text1"/>
        </w:rPr>
        <w:t>……………………</w:t>
      </w:r>
    </w:p>
    <w:p w14:paraId="3BFBC186" w14:textId="77777777" w:rsidR="00BB34CA" w:rsidRPr="003121C1" w:rsidRDefault="00BB34CA" w:rsidP="00BB34CA">
      <w:pPr>
        <w:spacing w:line="360" w:lineRule="auto"/>
        <w:jc w:val="both"/>
        <w:rPr>
          <w:color w:val="000000" w:themeColor="text1"/>
          <w:highlight w:val="lightGray"/>
        </w:rPr>
      </w:pPr>
      <w:r w:rsidRPr="003121C1">
        <w:rPr>
          <w:color w:val="000000" w:themeColor="text1"/>
          <w:highlight w:val="lightGray"/>
        </w:rPr>
        <w:t xml:space="preserve"> </w:t>
      </w:r>
    </w:p>
    <w:p w14:paraId="443C17F5" w14:textId="77777777" w:rsidR="00BB34CA" w:rsidRDefault="00BB34CA" w:rsidP="00BB34CA">
      <w:pPr>
        <w:spacing w:line="360" w:lineRule="auto"/>
        <w:jc w:val="both"/>
        <w:rPr>
          <w:color w:val="000000" w:themeColor="text1"/>
          <w:highlight w:val="lightGray"/>
        </w:rPr>
      </w:pPr>
    </w:p>
    <w:p w14:paraId="506FE985" w14:textId="77777777" w:rsidR="00BB34CA" w:rsidRDefault="00BB34CA" w:rsidP="00BB34CA">
      <w:pPr>
        <w:spacing w:line="360" w:lineRule="auto"/>
        <w:jc w:val="both"/>
        <w:rPr>
          <w:color w:val="000000" w:themeColor="text1"/>
          <w:highlight w:val="lightGray"/>
        </w:rPr>
      </w:pPr>
    </w:p>
    <w:p w14:paraId="705E7326" w14:textId="77777777" w:rsidR="00BB34CA" w:rsidRPr="003121C1" w:rsidRDefault="00BB34CA" w:rsidP="00BB34CA">
      <w:pPr>
        <w:spacing w:line="360" w:lineRule="auto"/>
        <w:jc w:val="both"/>
        <w:rPr>
          <w:color w:val="000000" w:themeColor="text1"/>
          <w:highlight w:val="lightGray"/>
        </w:rPr>
      </w:pPr>
    </w:p>
    <w:p w14:paraId="72745EDB" w14:textId="77777777" w:rsidR="00BB34CA" w:rsidRPr="008262D8" w:rsidRDefault="00BB34CA" w:rsidP="00BB34CA">
      <w:pPr>
        <w:spacing w:line="360" w:lineRule="auto"/>
        <w:ind w:left="6372"/>
        <w:rPr>
          <w:b/>
          <w:bCs/>
          <w:color w:val="000000" w:themeColor="text1"/>
        </w:rPr>
      </w:pPr>
      <w:r w:rsidRPr="008262D8">
        <w:rPr>
          <w:b/>
          <w:bCs/>
          <w:color w:val="000000" w:themeColor="text1"/>
        </w:rPr>
        <w:t xml:space="preserve">        Kontrolowany/a:</w:t>
      </w:r>
    </w:p>
    <w:p w14:paraId="7567E0AE" w14:textId="77777777" w:rsidR="00BB34CA" w:rsidRPr="008262D8" w:rsidRDefault="00BB34CA" w:rsidP="00BB34CA">
      <w:pPr>
        <w:spacing w:line="360" w:lineRule="auto"/>
        <w:ind w:left="6372"/>
        <w:rPr>
          <w:color w:val="000000" w:themeColor="text1"/>
        </w:rPr>
      </w:pPr>
    </w:p>
    <w:p w14:paraId="2D236D6C" w14:textId="77777777" w:rsidR="00BB34CA" w:rsidRPr="00C9408D" w:rsidRDefault="00BB34CA" w:rsidP="00BB34CA">
      <w:pPr>
        <w:spacing w:line="360" w:lineRule="auto"/>
        <w:jc w:val="both"/>
        <w:rPr>
          <w:color w:val="000000" w:themeColor="text1"/>
        </w:rPr>
      </w:pPr>
      <w:r w:rsidRPr="008262D8">
        <w:rPr>
          <w:color w:val="000000" w:themeColor="text1"/>
        </w:rPr>
        <w:t xml:space="preserve">                                                                                                     .…………………………………</w:t>
      </w:r>
    </w:p>
    <w:p w14:paraId="399E7724" w14:textId="77777777" w:rsidR="00097EE9" w:rsidRDefault="00097EE9"/>
    <w:sectPr w:rsidR="00097EE9" w:rsidSect="00304A7F">
      <w:headerReference w:type="default" r:id="rId6"/>
      <w:footerReference w:type="default" r:id="rId7"/>
      <w:pgSz w:w="11906" w:h="16838"/>
      <w:pgMar w:top="568" w:right="1077" w:bottom="1440" w:left="1077" w:header="426" w:footer="3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DBB4" w14:textId="77777777" w:rsidR="005C1BC3" w:rsidRPr="001C6A5B" w:rsidRDefault="00000000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Pr="001E33E1">
      <w:rPr>
        <w:b/>
        <w:sz w:val="20"/>
        <w:szCs w:val="20"/>
      </w:rPr>
      <w:t>KC-I.432.</w:t>
    </w:r>
    <w:r>
      <w:rPr>
        <w:b/>
        <w:sz w:val="20"/>
        <w:szCs w:val="20"/>
      </w:rPr>
      <w:t>509</w:t>
    </w:r>
    <w:r w:rsidRPr="001E33E1">
      <w:rPr>
        <w:b/>
        <w:sz w:val="20"/>
        <w:szCs w:val="20"/>
      </w:rPr>
      <w:t>.</w:t>
    </w:r>
    <w:r>
      <w:rPr>
        <w:b/>
        <w:sz w:val="20"/>
        <w:szCs w:val="20"/>
      </w:rPr>
      <w:t>1</w:t>
    </w:r>
    <w:r w:rsidRPr="001E33E1">
      <w:rPr>
        <w:b/>
        <w:sz w:val="20"/>
        <w:szCs w:val="20"/>
      </w:rPr>
      <w:t>.2022/</w:t>
    </w:r>
    <w:r>
      <w:rPr>
        <w:b/>
        <w:sz w:val="20"/>
        <w:szCs w:val="20"/>
      </w:rPr>
      <w:t>MO</w:t>
    </w:r>
    <w:r w:rsidRPr="001E33E1">
      <w:rPr>
        <w:b/>
        <w:sz w:val="20"/>
        <w:szCs w:val="20"/>
      </w:rPr>
      <w:t>-</w:t>
    </w:r>
    <w:r>
      <w:rPr>
        <w:b/>
        <w:sz w:val="20"/>
        <w:szCs w:val="20"/>
      </w:rPr>
      <w:t>1</w:t>
    </w:r>
    <w:r w:rsidRPr="00F2318E">
      <w:rPr>
        <w:noProof/>
      </w:rPr>
      <w:t xml:space="preserve"> </w:t>
    </w:r>
    <w:r w:rsidRPr="00747466">
      <w:rPr>
        <w:noProof/>
      </w:rPr>
      <w:drawing>
        <wp:inline distT="0" distB="0" distL="0" distR="0" wp14:anchorId="50026DE5" wp14:editId="083EC47C">
          <wp:extent cx="948161" cy="409433"/>
          <wp:effectExtent l="0" t="0" r="4445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20" cy="41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05E09" w14:textId="77777777" w:rsidR="00BC127A" w:rsidRPr="00C10C77" w:rsidRDefault="00000000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>
      <w:rPr>
        <w:noProof/>
        <w:spacing w:val="12"/>
        <w:sz w:val="20"/>
        <w:szCs w:val="20"/>
      </w:rPr>
      <w:t>2</w:t>
    </w:r>
    <w:r w:rsidRPr="00C10C77">
      <w:rPr>
        <w:spacing w:val="12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69"/>
      <w:gridCol w:w="2822"/>
      <w:gridCol w:w="2101"/>
      <w:gridCol w:w="2760"/>
    </w:tblGrid>
    <w:tr w:rsidR="00304A7F" w:rsidRPr="00EF3E3D" w14:paraId="33A5118F" w14:textId="77777777" w:rsidTr="00DD7A54">
      <w:trPr>
        <w:trHeight w:val="781"/>
      </w:trPr>
      <w:tc>
        <w:tcPr>
          <w:tcW w:w="1061" w:type="pct"/>
          <w:tcMar>
            <w:left w:w="0" w:type="dxa"/>
            <w:right w:w="0" w:type="dxa"/>
          </w:tcMar>
        </w:tcPr>
        <w:p w14:paraId="68D4A656" w14:textId="77777777" w:rsidR="00304A7F" w:rsidRPr="00EF3E3D" w:rsidRDefault="00000000" w:rsidP="00DD7A54">
          <w:pPr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6A251252" wp14:editId="2B3CB366">
                <wp:extent cx="1249680" cy="533400"/>
                <wp:effectExtent l="0" t="0" r="0" b="0"/>
                <wp:docPr id="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7" w:type="pct"/>
          <w:tcMar>
            <w:left w:w="0" w:type="dxa"/>
            <w:right w:w="0" w:type="dxa"/>
          </w:tcMar>
        </w:tcPr>
        <w:p w14:paraId="40FE30EC" w14:textId="77777777" w:rsidR="00304A7F" w:rsidRPr="00EF3E3D" w:rsidRDefault="00000000" w:rsidP="00CF543B">
          <w:pPr>
            <w:ind w:left="48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52BB2134" wp14:editId="6FF596DD">
                <wp:extent cx="1684020" cy="525780"/>
                <wp:effectExtent l="0" t="0" r="0" b="0"/>
                <wp:docPr id="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" w:type="pct"/>
          <w:tcMar>
            <w:left w:w="0" w:type="dxa"/>
            <w:right w:w="0" w:type="dxa"/>
          </w:tcMar>
        </w:tcPr>
        <w:p w14:paraId="72A794FD" w14:textId="77777777" w:rsidR="00304A7F" w:rsidRPr="00EF3E3D" w:rsidRDefault="00000000" w:rsidP="00CF543B">
          <w:pPr>
            <w:ind w:lef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3BA9875C" wp14:editId="71BA9DA0">
                <wp:extent cx="1173480" cy="541020"/>
                <wp:effectExtent l="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pct"/>
          <w:tcMar>
            <w:left w:w="0" w:type="dxa"/>
            <w:right w:w="0" w:type="dxa"/>
          </w:tcMar>
        </w:tcPr>
        <w:p w14:paraId="220BA426" w14:textId="77777777" w:rsidR="00304A7F" w:rsidRPr="00EF3E3D" w:rsidRDefault="00000000" w:rsidP="00CF543B">
          <w:pPr>
            <w:ind w:right="-1"/>
            <w:rPr>
              <w:noProof/>
            </w:rPr>
          </w:pPr>
          <w:r w:rsidRPr="00EF3E3D">
            <w:rPr>
              <w:noProof/>
            </w:rPr>
            <w:drawing>
              <wp:inline distT="0" distB="0" distL="0" distR="0" wp14:anchorId="1F3DEEB9" wp14:editId="25FC02C1">
                <wp:extent cx="1676400" cy="502920"/>
                <wp:effectExtent l="0" t="0" r="0" b="0"/>
                <wp:docPr id="1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9F66ED" w14:textId="77777777" w:rsidR="00304A7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05FE"/>
    <w:multiLevelType w:val="hybridMultilevel"/>
    <w:tmpl w:val="1DBAC58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6128"/>
    <w:multiLevelType w:val="hybridMultilevel"/>
    <w:tmpl w:val="231C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68308">
    <w:abstractNumId w:val="0"/>
  </w:num>
  <w:num w:numId="2" w16cid:durableId="25054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59"/>
    <w:rsid w:val="00097EE9"/>
    <w:rsid w:val="004D2959"/>
    <w:rsid w:val="00B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B54F3-C8AC-416F-BE43-88F9253B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3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34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B34C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B34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Okła, Magdalena</cp:lastModifiedBy>
  <cp:revision>3</cp:revision>
  <dcterms:created xsi:type="dcterms:W3CDTF">2023-01-11T09:36:00Z</dcterms:created>
  <dcterms:modified xsi:type="dcterms:W3CDTF">2023-01-11T09:38:00Z</dcterms:modified>
</cp:coreProperties>
</file>