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E838D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bookmarkStart w:id="0" w:name="_GoBack"/>
      <w:bookmarkEnd w:id="0"/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5739DB">
        <w:rPr>
          <w:rFonts w:ascii="Times New Roman" w:hAnsi="Times New Roman" w:cs="Times New Roman"/>
          <w:sz w:val="24"/>
          <w:szCs w:val="24"/>
        </w:rPr>
        <w:t>1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739D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A51E53" w:rsidRDefault="00A51E53" w:rsidP="001C46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</w:t>
      </w:r>
      <w:r w:rsidR="005739DB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65610C">
        <w:rPr>
          <w:rFonts w:ascii="Times New Roman" w:eastAsia="Calibri" w:hAnsi="Times New Roman" w:cs="Times New Roman"/>
          <w:bCs/>
          <w:sz w:val="24"/>
          <w:szCs w:val="24"/>
        </w:rPr>
        <w:t xml:space="preserve"> r., w wyniku postępowania                               o zamówienie publiczne, poniżej </w:t>
      </w:r>
      <w:r w:rsidR="005739DB">
        <w:rPr>
          <w:rFonts w:ascii="Times New Roman" w:eastAsia="Calibri" w:hAnsi="Times New Roman" w:cs="Times New Roman"/>
          <w:bCs/>
          <w:sz w:val="24"/>
          <w:szCs w:val="24"/>
        </w:rPr>
        <w:t>130 000,00 zł</w:t>
      </w:r>
      <w:r w:rsidRPr="0065610C">
        <w:rPr>
          <w:rFonts w:ascii="Times New Roman" w:eastAsia="Calibri" w:hAnsi="Times New Roman" w:cs="Times New Roman"/>
          <w:bCs/>
          <w:sz w:val="24"/>
          <w:szCs w:val="24"/>
        </w:rPr>
        <w:t xml:space="preserve"> zgodnie z załącznikiem nr 1 uchwały                   Nr </w:t>
      </w:r>
      <w:r w:rsidR="005739DB">
        <w:rPr>
          <w:rFonts w:ascii="Times New Roman" w:eastAsia="Calibri" w:hAnsi="Times New Roman" w:cs="Times New Roman"/>
          <w:bCs/>
          <w:sz w:val="24"/>
          <w:szCs w:val="24"/>
        </w:rPr>
        <w:t>3346/21</w:t>
      </w:r>
      <w:r w:rsidRPr="0065610C">
        <w:rPr>
          <w:rFonts w:ascii="Times New Roman" w:eastAsia="Calibri" w:hAnsi="Times New Roman" w:cs="Times New Roman"/>
          <w:bCs/>
          <w:sz w:val="24"/>
          <w:szCs w:val="24"/>
        </w:rPr>
        <w:t xml:space="preserve"> Zarządu Województwa Świętokrzyskiego z dnia </w:t>
      </w:r>
      <w:r w:rsidR="005739DB">
        <w:rPr>
          <w:rFonts w:ascii="Times New Roman" w:eastAsia="Calibri" w:hAnsi="Times New Roman" w:cs="Times New Roman"/>
          <w:bCs/>
          <w:sz w:val="24"/>
          <w:szCs w:val="24"/>
        </w:rPr>
        <w:t>3 lutego 2021</w:t>
      </w:r>
      <w:r w:rsidRPr="0065610C">
        <w:rPr>
          <w:rFonts w:ascii="Times New Roman" w:eastAsia="Calibri" w:hAnsi="Times New Roman" w:cs="Times New Roman"/>
          <w:bCs/>
          <w:sz w:val="24"/>
          <w:szCs w:val="24"/>
        </w:rPr>
        <w:t xml:space="preserve"> r. w sprawie: Zasad udzielania zamówień publicznych</w:t>
      </w:r>
      <w:r w:rsidR="005739DB">
        <w:rPr>
          <w:rFonts w:ascii="Times New Roman" w:eastAsia="Calibri" w:hAnsi="Times New Roman" w:cs="Times New Roman"/>
          <w:bCs/>
          <w:sz w:val="24"/>
          <w:szCs w:val="24"/>
        </w:rPr>
        <w:t xml:space="preserve"> w Urzędzie Marszałkowskim Województwa Świętokrzyskiego w Kielcach</w:t>
      </w:r>
      <w:r w:rsidRPr="0065610C">
        <w:rPr>
          <w:rFonts w:ascii="Times New Roman" w:eastAsia="Calibri" w:hAnsi="Times New Roman" w:cs="Times New Roman"/>
          <w:bCs/>
          <w:sz w:val="24"/>
          <w:szCs w:val="24"/>
        </w:rPr>
        <w:t xml:space="preserve"> i regulaminu pracy komisji przetargowej, pomiędzy: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dostawa sprzętu rehabilitacyjnego i medycznego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1C469D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223"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lastRenderedPageBreak/>
        <w:t>Wykonawca oświadcza, że został poinformowany, iż świadczenie dostawy objętej umową jest współfinansowane przez Zamawiającego ze środków Unii Europejskiej w ramach Europejskiego Funduszu Społecznego.</w:t>
      </w:r>
    </w:p>
    <w:p w:rsidR="00A51E53" w:rsidRPr="00664223" w:rsidRDefault="00A51E53" w:rsidP="001C469D">
      <w:pPr>
        <w:tabs>
          <w:tab w:val="num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A51E53" w:rsidRPr="001C469D" w:rsidRDefault="00664223" w:rsidP="001C469D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A51E53" w:rsidRPr="001C469D" w:rsidRDefault="00664223" w:rsidP="001C469D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A51E53" w:rsidRPr="001C469D" w:rsidRDefault="00664223" w:rsidP="001C469D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poinformować Zamawiającego o fakcie zaistnienia siły wyższej oraz wskazać zakres i wpływ, jakie zdarzenie miało na przebieg realizacji przedmiotu umowy. 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A51E53" w:rsidRPr="001C469D" w:rsidRDefault="00664223" w:rsidP="001C469D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B47CC" w:rsidRPr="001C469D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5752" w:rsidRPr="00664223" w:rsidRDefault="00315752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1C469D">
        <w:rPr>
          <w:rFonts w:ascii="New Times Roman" w:eastAsia="Times New Roman" w:hAnsi="New Times Roman" w:cs="Arial"/>
          <w:sz w:val="20"/>
          <w:szCs w:val="20"/>
          <w:lang w:eastAsia="pl-PL"/>
        </w:rPr>
        <w:t>Wykonawca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49" w:rsidRDefault="00226749" w:rsidP="007653B4">
      <w:pPr>
        <w:spacing w:after="0" w:line="240" w:lineRule="auto"/>
      </w:pPr>
      <w:r>
        <w:separator/>
      </w:r>
    </w:p>
  </w:endnote>
  <w:endnote w:type="continuationSeparator" w:id="0">
    <w:p w:rsidR="00226749" w:rsidRDefault="0022674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49" w:rsidRDefault="00226749" w:rsidP="007653B4">
      <w:pPr>
        <w:spacing w:after="0" w:line="240" w:lineRule="auto"/>
      </w:pPr>
      <w:r>
        <w:separator/>
      </w:r>
    </w:p>
  </w:footnote>
  <w:footnote w:type="continuationSeparator" w:id="0">
    <w:p w:rsidR="00226749" w:rsidRDefault="0022674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E838DD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E838DD" w:rsidRPr="00E838D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E838DD" w:rsidRPr="00E838D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610A8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A197C"/>
    <w:rsid w:val="001C469D"/>
    <w:rsid w:val="001D03C1"/>
    <w:rsid w:val="002060E0"/>
    <w:rsid w:val="00217F1B"/>
    <w:rsid w:val="002207C7"/>
    <w:rsid w:val="00225EC4"/>
    <w:rsid w:val="00226749"/>
    <w:rsid w:val="00234CA3"/>
    <w:rsid w:val="0023611F"/>
    <w:rsid w:val="002431C5"/>
    <w:rsid w:val="00245CD7"/>
    <w:rsid w:val="00264851"/>
    <w:rsid w:val="0027219F"/>
    <w:rsid w:val="00284350"/>
    <w:rsid w:val="002A2245"/>
    <w:rsid w:val="002B48B6"/>
    <w:rsid w:val="002D0CA3"/>
    <w:rsid w:val="002F54EA"/>
    <w:rsid w:val="00315752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739DB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2592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54385"/>
    <w:rsid w:val="00E838DD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ECAA3-EAA4-41B3-A68B-429DEA24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2233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5</cp:revision>
  <cp:lastPrinted>2021-02-11T13:50:00Z</cp:lastPrinted>
  <dcterms:created xsi:type="dcterms:W3CDTF">2020-12-21T09:27:00Z</dcterms:created>
  <dcterms:modified xsi:type="dcterms:W3CDTF">2021-02-22T07:25:00Z</dcterms:modified>
</cp:coreProperties>
</file>