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1A" w:rsidRDefault="00834E58" w:rsidP="00B20E1A">
      <w:pPr>
        <w:spacing w:after="0" w:line="240" w:lineRule="auto"/>
        <w:jc w:val="right"/>
      </w:pPr>
      <w:r>
        <w:t>Załącznik Nr 3</w:t>
      </w:r>
    </w:p>
    <w:p w:rsidR="00B20E1A" w:rsidRDefault="00B20E1A" w:rsidP="00B20E1A">
      <w:pPr>
        <w:spacing w:after="0" w:line="240" w:lineRule="auto"/>
        <w:jc w:val="right"/>
      </w:pPr>
      <w:r>
        <w:t xml:space="preserve">do Uchwały Nr </w:t>
      </w:r>
      <w:r w:rsidR="009276F6">
        <w:t>3857</w:t>
      </w:r>
      <w:bookmarkStart w:id="0" w:name="_GoBack"/>
      <w:bookmarkEnd w:id="0"/>
      <w:r>
        <w:t xml:space="preserve"> /18</w:t>
      </w:r>
    </w:p>
    <w:p w:rsidR="00B20E1A" w:rsidRDefault="00B20E1A" w:rsidP="00B20E1A">
      <w:pPr>
        <w:spacing w:after="0" w:line="240" w:lineRule="auto"/>
        <w:jc w:val="right"/>
      </w:pPr>
      <w:r>
        <w:t>Zarządu Województwa Świętokrzyskiego</w:t>
      </w:r>
    </w:p>
    <w:p w:rsidR="00B20E1A" w:rsidRPr="009E1F02" w:rsidRDefault="00AB3ACA" w:rsidP="00B20E1A">
      <w:pPr>
        <w:spacing w:after="0" w:line="240" w:lineRule="auto"/>
        <w:jc w:val="right"/>
      </w:pPr>
      <w:proofErr w:type="gramStart"/>
      <w:r>
        <w:t>z</w:t>
      </w:r>
      <w:proofErr w:type="gramEnd"/>
      <w:r>
        <w:t xml:space="preserve"> dnia 24</w:t>
      </w:r>
      <w:r w:rsidR="00B20E1A">
        <w:t xml:space="preserve"> kwietnia 2018 r.</w:t>
      </w:r>
    </w:p>
    <w:p w:rsidR="00B20E1A" w:rsidRDefault="00B20E1A" w:rsidP="003A3F69">
      <w:pPr>
        <w:jc w:val="center"/>
        <w:rPr>
          <w:b/>
          <w:sz w:val="28"/>
          <w:szCs w:val="28"/>
        </w:rPr>
      </w:pPr>
    </w:p>
    <w:p w:rsidR="00235491" w:rsidRPr="003A3F69" w:rsidRDefault="003A3F69" w:rsidP="003A3F69">
      <w:pPr>
        <w:jc w:val="center"/>
        <w:rPr>
          <w:b/>
          <w:sz w:val="28"/>
          <w:szCs w:val="28"/>
        </w:rPr>
      </w:pPr>
      <w:r w:rsidRPr="003A3F69">
        <w:rPr>
          <w:b/>
          <w:sz w:val="28"/>
          <w:szCs w:val="28"/>
        </w:rPr>
        <w:t>OBJAŚNIENIA ZMIAN</w:t>
      </w:r>
    </w:p>
    <w:p w:rsidR="003A3F69" w:rsidRDefault="003A3F69" w:rsidP="003A3F69">
      <w:pPr>
        <w:jc w:val="center"/>
        <w:rPr>
          <w:b/>
          <w:sz w:val="28"/>
          <w:szCs w:val="28"/>
        </w:rPr>
      </w:pPr>
      <w:r w:rsidRPr="003A3F69">
        <w:rPr>
          <w:b/>
          <w:sz w:val="28"/>
          <w:szCs w:val="28"/>
        </w:rPr>
        <w:t>PRZYJĘTYCH WARTOŚCI W WIELOLETNIEJ PROGNOZIE FINANSOWEJ WOJEWÓDZTWA ŚWIĘTOKRZYSKIEGO NA LATA 2018-2032</w:t>
      </w:r>
    </w:p>
    <w:p w:rsidR="002E0C6F" w:rsidRDefault="002E0C6F" w:rsidP="003A3F69">
      <w:pPr>
        <w:jc w:val="center"/>
        <w:rPr>
          <w:b/>
          <w:sz w:val="28"/>
          <w:szCs w:val="28"/>
        </w:rPr>
      </w:pPr>
    </w:p>
    <w:p w:rsidR="002E0C6F" w:rsidRPr="002E0C6F" w:rsidRDefault="002E0C6F" w:rsidP="002E0C6F">
      <w:pPr>
        <w:jc w:val="center"/>
        <w:rPr>
          <w:b/>
          <w:sz w:val="28"/>
          <w:szCs w:val="28"/>
        </w:rPr>
      </w:pPr>
      <w:r w:rsidRPr="002E0C6F">
        <w:rPr>
          <w:b/>
          <w:sz w:val="28"/>
          <w:szCs w:val="28"/>
        </w:rPr>
        <w:t>DOCHODY I WYDATKI BUDŻETU</w:t>
      </w:r>
    </w:p>
    <w:p w:rsidR="002E0C6F" w:rsidRDefault="00B32C2E" w:rsidP="00FA4126">
      <w:pPr>
        <w:pStyle w:val="Akapitzlist"/>
        <w:numPr>
          <w:ilvl w:val="0"/>
          <w:numId w:val="8"/>
        </w:numPr>
        <w:jc w:val="both"/>
      </w:pPr>
      <w:r w:rsidRPr="00B32C2E">
        <w:t xml:space="preserve">Zwiększenie </w:t>
      </w:r>
      <w:r>
        <w:t xml:space="preserve">w 2018 r. </w:t>
      </w:r>
      <w:r w:rsidR="00422A8D">
        <w:t xml:space="preserve">dochodów bieżących o kwotę </w:t>
      </w:r>
      <w:r w:rsidR="00E8418E">
        <w:t>14.059,26</w:t>
      </w:r>
      <w:r w:rsidR="00422A8D">
        <w:t xml:space="preserve"> </w:t>
      </w:r>
      <w:proofErr w:type="gramStart"/>
      <w:r w:rsidR="00422A8D">
        <w:t>zł</w:t>
      </w:r>
      <w:proofErr w:type="gramEnd"/>
      <w:r w:rsidR="00422A8D">
        <w:t xml:space="preserve"> pochodzących z b</w:t>
      </w:r>
      <w:r>
        <w:t xml:space="preserve">udżetu państwa oraz zwiększenie wydatków bieżących o kwotę </w:t>
      </w:r>
      <w:r w:rsidR="00E8418E">
        <w:t xml:space="preserve">14.059,26 </w:t>
      </w:r>
      <w:proofErr w:type="gramStart"/>
      <w:r w:rsidR="00422A8D">
        <w:t>zł</w:t>
      </w:r>
      <w:proofErr w:type="gramEnd"/>
      <w:r w:rsidR="00422A8D">
        <w:t xml:space="preserve"> z </w:t>
      </w:r>
      <w:r>
        <w:t>przeznaczeniem na odszkodowania za szkody wyrządzone</w:t>
      </w:r>
      <w:r w:rsidR="00D1032B">
        <w:t xml:space="preserve"> w uprawach rolnych</w:t>
      </w:r>
      <w:r>
        <w:t xml:space="preserve"> przez zwierz</w:t>
      </w:r>
      <w:r w:rsidR="00422A8D">
        <w:t>ęta łowne, w </w:t>
      </w:r>
      <w:r w:rsidR="00D1032B">
        <w:t>związku z decyzjami</w:t>
      </w:r>
      <w:r w:rsidR="00FA4126">
        <w:t xml:space="preserve"> </w:t>
      </w:r>
      <w:r>
        <w:t>Wojewody Świętokrzyskiego;</w:t>
      </w:r>
    </w:p>
    <w:p w:rsidR="00FA4126" w:rsidRPr="00B32C2E" w:rsidRDefault="00FA4126" w:rsidP="00FA4126">
      <w:pPr>
        <w:pStyle w:val="Akapitzlist"/>
        <w:numPr>
          <w:ilvl w:val="0"/>
          <w:numId w:val="8"/>
        </w:numPr>
        <w:jc w:val="both"/>
      </w:pPr>
      <w:r>
        <w:t>Zwiększenie w 2018 r. dochodów majątkowych o kwotę 272 zł</w:t>
      </w:r>
      <w:r w:rsidR="006C32BC">
        <w:t xml:space="preserve"> oraz zwiększenie wydatków majątkowych o kwotę 272 zł w związku ze zwrotem do budżetu państwa </w:t>
      </w:r>
      <w:r w:rsidR="00195CF1">
        <w:t xml:space="preserve">niewykorzystanej </w:t>
      </w:r>
      <w:r w:rsidR="006C32BC">
        <w:t xml:space="preserve">dotacji celowej na </w:t>
      </w:r>
      <w:r w:rsidR="00195CF1">
        <w:t>zadania</w:t>
      </w:r>
      <w:r w:rsidR="006C32BC">
        <w:t xml:space="preserve"> inwestycyj</w:t>
      </w:r>
      <w:r w:rsidR="00195CF1">
        <w:t>ne z zakresu administracji rządowej oraz inne zadania zlecone ustawami</w:t>
      </w:r>
      <w:r w:rsidR="00C10FFF">
        <w:t xml:space="preserve"> realizowane przez samorząd województwa</w:t>
      </w:r>
      <w:r w:rsidR="00195CF1">
        <w:t>;</w:t>
      </w:r>
      <w:r w:rsidR="006C32BC">
        <w:t xml:space="preserve"> </w:t>
      </w:r>
    </w:p>
    <w:p w:rsidR="003A3F69" w:rsidRDefault="003D4151" w:rsidP="003A3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3A3F69">
        <w:rPr>
          <w:b/>
          <w:sz w:val="28"/>
          <w:szCs w:val="28"/>
        </w:rPr>
        <w:t>MIANY W PRZEDSIĘWZIĘCIACH</w:t>
      </w:r>
    </w:p>
    <w:p w:rsidR="003A3F69" w:rsidRPr="00836212" w:rsidRDefault="003D4151" w:rsidP="003D4151">
      <w:pPr>
        <w:pStyle w:val="Akapitzlist"/>
        <w:numPr>
          <w:ilvl w:val="0"/>
          <w:numId w:val="7"/>
        </w:numPr>
        <w:jc w:val="both"/>
      </w:pPr>
      <w:r>
        <w:t xml:space="preserve">Przesunięcie w 2018 r. pomiędzy wydatkami bieżącymi a wydatkami majątkowymi w kwocie 51.660 zł w związku z realizacją przez Urząd Marszałkowski przedsięwzięcia </w:t>
      </w:r>
      <w:r w:rsidRPr="003D4151">
        <w:rPr>
          <w:b/>
        </w:rPr>
        <w:t>(1c009)</w:t>
      </w:r>
      <w:r>
        <w:t xml:space="preserve"> </w:t>
      </w:r>
      <w:r w:rsidRPr="003D4151">
        <w:rPr>
          <w:i/>
        </w:rPr>
        <w:t>„Zapewnienie eksploatacji, bezpieczeństwa i rozwoju Portalu "Wrota Świętokrzyskie", serwisu "e-Urząd</w:t>
      </w:r>
      <w:proofErr w:type="gramStart"/>
      <w:r w:rsidRPr="003D4151">
        <w:rPr>
          <w:i/>
        </w:rPr>
        <w:t>" ,</w:t>
      </w:r>
      <w:proofErr w:type="spellStart"/>
      <w:r w:rsidRPr="003D4151">
        <w:rPr>
          <w:i/>
        </w:rPr>
        <w:t>eSOD</w:t>
      </w:r>
      <w:proofErr w:type="spellEnd"/>
      <w:proofErr w:type="gramEnd"/>
      <w:r w:rsidRPr="003D4151">
        <w:rPr>
          <w:i/>
        </w:rPr>
        <w:t xml:space="preserve"> oraz serwisu internetowego”</w:t>
      </w:r>
      <w:r>
        <w:rPr>
          <w:i/>
        </w:rPr>
        <w:t>;</w:t>
      </w:r>
    </w:p>
    <w:p w:rsidR="002E0C6F" w:rsidRDefault="002E0C6F" w:rsidP="002E0C6F">
      <w:pPr>
        <w:pStyle w:val="Akapitzlist"/>
        <w:rPr>
          <w:b/>
          <w:sz w:val="28"/>
          <w:szCs w:val="28"/>
        </w:rPr>
      </w:pPr>
    </w:p>
    <w:p w:rsidR="002E0C6F" w:rsidRPr="002E0C6F" w:rsidRDefault="002E0C6F" w:rsidP="002E0C6F">
      <w:pPr>
        <w:pStyle w:val="Akapitzlist"/>
        <w:rPr>
          <w:b/>
          <w:sz w:val="28"/>
          <w:szCs w:val="28"/>
        </w:rPr>
      </w:pPr>
    </w:p>
    <w:p w:rsidR="003A3F69" w:rsidRDefault="003A3F69" w:rsidP="003A3F69">
      <w:pPr>
        <w:rPr>
          <w:b/>
          <w:sz w:val="28"/>
          <w:szCs w:val="28"/>
        </w:rPr>
      </w:pPr>
    </w:p>
    <w:p w:rsidR="003A3F69" w:rsidRDefault="003A3F69" w:rsidP="003A3F69">
      <w:pPr>
        <w:rPr>
          <w:b/>
          <w:sz w:val="28"/>
          <w:szCs w:val="28"/>
        </w:rPr>
      </w:pPr>
    </w:p>
    <w:p w:rsidR="003A3F69" w:rsidRDefault="003A3F6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A3F69" w:rsidRDefault="003A3F69" w:rsidP="003A3F69">
      <w:pPr>
        <w:rPr>
          <w:b/>
          <w:sz w:val="28"/>
          <w:szCs w:val="28"/>
        </w:rPr>
        <w:sectPr w:rsidR="003A3F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lastRenderedPageBreak/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080"/>
        <w:gridCol w:w="1080"/>
        <w:gridCol w:w="1261"/>
        <w:gridCol w:w="1261"/>
        <w:gridCol w:w="1018"/>
        <w:gridCol w:w="1278"/>
        <w:gridCol w:w="1112"/>
        <w:gridCol w:w="1341"/>
        <w:gridCol w:w="1144"/>
        <w:gridCol w:w="1125"/>
        <w:gridCol w:w="1356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Dochody ogółem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Dochody bieżące 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Dochody majątkowe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dochody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 tytułu działu we wpływach z podatku </w:t>
            </w: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dochodowego od osób fizycznych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dochody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 tytułu działu we wpływach z podatku dochodowego od osób prawnych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podatki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 opłaty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subwencji ogólnej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tytułu dotacji i środków </w:t>
            </w: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przeznaczonych na cele bieżące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ze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sprzedaży majątku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tytułu dotacji oraz środków przeznaczonych na inwestycje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podatku od nieruchomości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1.1.3.1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1.2.2 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2018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14 331,26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14 059,26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14 059,26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272,00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238"/>
        <w:gridCol w:w="1238"/>
        <w:gridCol w:w="1253"/>
        <w:gridCol w:w="1334"/>
        <w:gridCol w:w="1497"/>
        <w:gridCol w:w="1204"/>
        <w:gridCol w:w="1261"/>
        <w:gridCol w:w="1345"/>
        <w:gridCol w:w="1380"/>
        <w:gridCol w:w="1306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ogółem</w:t>
            </w:r>
          </w:p>
        </w:tc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Wydatki bieżące 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majątkowe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tytułu poręczeń i gwarancji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na spłatę przejętych zobowiązań samodzielnego publicznego zakładu opieki zdrowotnej przekształconego na zasadach określonych w przepisach o działalności leczniczej, w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wysokości w jakiej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nie podlegają sfinansowaniu dotacją z budżetu państwa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na obsługę długu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gwarancje i poręczenia podlegające wyłączeniu z limitów spłaty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zobowiązań o którym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mowa w art. 243 ustawy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odsetki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 dyskonto określone w art. 243 ust. 1 ustawy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odsetki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 dyskonto podlegające wyłączeniu z limitu spłaty zobowiązań, o którym mowa w art.243 ustawy, w terminie nie dłuższym niż 90 dni po zakończeniu programu, projektu lub zadania i otrzymaniu refundacji z tych środków (bez odsetek i dyskonta od zobowiązań na wkład krajowy)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odsetki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i dyskonto podlegające wyłączeniu z limitu spłaty zobowiązań, o którym mowa w art.243 ustawy, z tytułu zobowiązań zaciągniętych na wkład krajowy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2.1.3.1.1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2.1.3.1.2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2.2 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2018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14 331,26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14 059,26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272,00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702"/>
        <w:gridCol w:w="886"/>
        <w:gridCol w:w="1377"/>
        <w:gridCol w:w="1086"/>
        <w:gridCol w:w="1892"/>
        <w:gridCol w:w="1086"/>
        <w:gridCol w:w="1986"/>
        <w:gridCol w:w="1086"/>
        <w:gridCol w:w="1854"/>
        <w:gridCol w:w="1101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Wynik budżetu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Przychody budżetu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Nadwyżka budżetowa z lat ubiegłych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Wolne środki, o których mowa w art. 217 ust.2 pkt 6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(4.3) Kredyty, pożyczki, emisje papierów wartościowych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Inne przychody niezwiązane z zaciągnięciem długu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pokrycie deficytu budżetu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pokrycie deficytu budżetu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pokrycie deficytu budżetu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pokrycie deficytu budżetu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4.4.1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751"/>
        <w:gridCol w:w="1852"/>
        <w:gridCol w:w="2728"/>
        <w:gridCol w:w="2148"/>
        <w:gridCol w:w="2167"/>
        <w:gridCol w:w="2191"/>
        <w:gridCol w:w="1219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Rozchody budżetu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Spłaty rat kapitałowych kredytów i pożyczek oraz wykup papierów wartościowych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Inne rozchody niezwiązane ze spłatą długu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tym łączna kwota przypadających na dany rok kwot ustawowych wyłączeń z limitu spłaty zobowiązań, o których mowa w art.243 ustawy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przypadających na dany rok kwot ustawowych wyłączeń określonych w art.243 ust.3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przypadających na dany rok kwot ustawowych wyłączeń określonych w art.243 ust.3a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przypadających na dany rok kwot ustawowych wyłączeń innych niż określone w art.243 ustawy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5.1.1.1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5.1.1.2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5.1.1.3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5.2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605"/>
        <w:gridCol w:w="6282"/>
        <w:gridCol w:w="2180"/>
        <w:gridCol w:w="3989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 długu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 zabezpieczeń wynikających z przejęcia przez jednostkę samorządu terytorialnego zobowiązań po likwidowanych i przekształconych jednostkach zaliczanych do sektora finansów publicznych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Relacja zrównoważenia wydatków bieżących, o której mowa w art.242 ustawy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Różnica między dochodami bieżącymi a wydatkami bieżącymi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Różnica między dochodami bieżącymi skorygowanymi o środki7) a wydatkami bieżącymi, pomniejszonymi o wydatki 8)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8.2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486"/>
        <w:gridCol w:w="1485"/>
        <w:gridCol w:w="1329"/>
        <w:gridCol w:w="1490"/>
        <w:gridCol w:w="1270"/>
        <w:gridCol w:w="1457"/>
        <w:gridCol w:w="1542"/>
        <w:gridCol w:w="1451"/>
        <w:gridCol w:w="1546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spłaty zobowiązań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Wskaźnik planowanej łącznej kwoty spłaty zobowiązań, o której mowa w art.243 ust.1 ustawy do dochodów, bez uwzględnienia zobowiązań związku współtworzonego przez jednostkę samorządu terytorialnego i bez uwzględniania ustawowych wyłączeń przypadających na dany rok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Wskaźnik planowanej łącznej kwoty spłaty zobowiązań, o której mowa w art.243 ust.1 ustawy do dochodów, bez uwzględnienia zobowiązań związku współtworzonego przez jednostkę samorządu terytorialnego, po uwzględnieniu ustawowych wyłączeń przypadających na dany rok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 zobowiązań związku współtworzonego przez jednostkę samorządu terytorialnego przypadających do spłaty w danym roku budżetowym, podlegająca doliczeniu zgodnie z art.244 ustawy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Wskaźnik planowanej łącznej kwoty spłaty zobowiązań, o której mowa w art.243 ust.1 ustawy do dochodów, po uwzględnieniu zobowiązań związku współtworzonego przez jednostkę samorządu terytorialnego oraz po uwzględnieniu ustawowych wyłączeń przypadających na dany rok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Wskaźnik dochodów bieżących powiększonych o dochody ze sprzedaży majątku oraz pomniejszonych o wydatki bieżące, do dochodów budżetu, ustalony dla danego roku (wskaźnik jednoroczny)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Dopuszczalny wskaźnik spłaty zobowiązań określony w art.243 ustawy, po uwzględnieniu ustawowych wyłączeń, obliczony w oparciu o plan 3 kwartału roku poprzedzającego pierwszy rok prognozy (wskaźnik ustalony w oparciu o średnią arytmetyczną z 3 poprzednich lat)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Informacja o spełnieniu wskaźnika spłaty zobowiązań określonego w art.243 ustawy, po uwzględnieniu zobowiązań związku współtworzonego przez jednostkę samorządu terytorialnego oraz po uwzględnieniu ustawowych wyłączeń, obliczonego w oparciu o plan 3 kwartałów roku poprzedzającego rok budżetowy</w:t>
            </w:r>
          </w:p>
        </w:tc>
        <w:tc>
          <w:tcPr>
            <w:tcW w:w="0" w:type="auto"/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Dopuszczalny wskaźnik spłaty zobowiązań określony w art. 243 ustawy, po uwzględnieniu ustawowych wyłączeń, obliczony w oparciu o wykonanie roku poprzedzającego pierwszy rok prognozy (wskaźnik ustalony w oparciu o średnią arytmetyczną z 3 poprzednich lat)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Informacja o spełnieniu wskaźnika spłaty zobowiązań określonego w art.243 ustawy, po uwzględnieniu zobowiązań związku współtworzonego przez jednostkę samorządu terytorialnego oraz po uwzględnieniu ustawowych wyłączeń, obliczonego w oparciu o wykonanie roku poprzedzającego rok budżetowy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9.7.1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383"/>
        <w:gridCol w:w="1363"/>
        <w:gridCol w:w="1380"/>
        <w:gridCol w:w="1453"/>
        <w:gridCol w:w="1147"/>
        <w:gridCol w:w="1180"/>
        <w:gridCol w:w="1237"/>
        <w:gridCol w:w="1359"/>
        <w:gridCol w:w="1302"/>
        <w:gridCol w:w="1252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Przeznaczenie prognozowanej nadwyżki budżetowej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 na: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Informacje uzupełniające o wybranych rodzajach wydatków budżetowych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Spłaty kredytów, pożyczek i wykup papierów wartościowych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bieżące na wynagrodzenia i składki od nich naliczane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związane z funkcjonowaniem organów jednostki samorządu terytorialnego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objęte limitem art.226 ust.3 pkt 4 ustawy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tego: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inwestycyjne kontynuowane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Nowe wydatki inwestycyjne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majątkowe w formie dotacji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bieżące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majątkowe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11.3.2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11.6 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2018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-43 612,00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-20 000,00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-51 660,00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51 660,00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51 660,00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9 000,00 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785D77">
              <w:rPr>
                <w:rFonts w:eastAsia="Times New Roman"/>
                <w:sz w:val="12"/>
                <w:szCs w:val="12"/>
                <w:lang w:eastAsia="pl-PL"/>
              </w:rPr>
              <w:t xml:space="preserve">0,00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1641"/>
        <w:gridCol w:w="859"/>
        <w:gridCol w:w="1592"/>
        <w:gridCol w:w="1663"/>
        <w:gridCol w:w="859"/>
        <w:gridCol w:w="1592"/>
        <w:gridCol w:w="1626"/>
        <w:gridCol w:w="1118"/>
        <w:gridCol w:w="2106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Finansowanie programów, projektów lub zadań realizowanych z udziałem środków, o których mowa w art.5 ust.1 pkt 2 i 3 ustawy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Dochody bieżące na programy, projekty lub zadania finansowane z udziałem środków, o których mowa w art. 5 ust. 1 pkt 2 i 3 ustawy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Dochody majątkowe na programy, projekty lub zadania finansowane z udziałem środków, o których mowa w art. 5 ust. 1 pkt 2 i 3 ustawy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bieżące na programy, projekty lub zadania finansowane z udziałem środków, o których mowa w art.5 ust.1 pkt 2 i 3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środki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określone w art. 5 ust. 1 pkt 2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środki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określone w art. 5 ust. 1 pkt 2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finansowane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środkami określonymi w art.5 ust.1 pkt 2 ustawy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bieżące na realizację programu projektu lub zadania wynikające wyłącznie z zawartych umów z podmiotem dysponującym środkami, o których mowa w art.5 ust.1 pkt 2 ustawy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tym środki określone w art. 5 ust. 1 pkt 2 ustawy wynikające wyłącznie z zawartych umów na realizację programu, projektu lub zadania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tym środki określone w art. 5 ust. 1 pkt 2 ustawy wynikające wyłącznie z zawartych umów na realizację programu, projektu lub zadania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12.1.1.1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12.2.1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12.2.1.1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12.3.2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"/>
        <w:gridCol w:w="1368"/>
        <w:gridCol w:w="1006"/>
        <w:gridCol w:w="1715"/>
        <w:gridCol w:w="1934"/>
        <w:gridCol w:w="969"/>
        <w:gridCol w:w="1890"/>
        <w:gridCol w:w="969"/>
        <w:gridCol w:w="2220"/>
        <w:gridCol w:w="984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majątkowe na programy, projekty lub zadania finansowane z udziałem środków, o których mowa w art.5 ust.1 pkt 2 i 3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na wkład krajowy w związku z umową na realizację programu, projektu lub zadania finansowanego z udziałem środków, o których mowa w art.5 ust.1 pkt 2 ustawy bez względu na stopień finansowania tymi środkami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Wydatki na wkład krajowy w związku z zawartą po dniu 1 stycznia 2013 r. umową na realizację programu, projektu lub zadania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finansowanego w co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najmniej 60% środkami, o których mowa w art.5 ust.1 pkt 2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Przychody z tytułu kredytów, pożyczek, emisji papierów wartościowych powstające w związku z umową na realizację programu, projektu lub zadania finansowanego z udziałem środków, o których mowa wart. 5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ust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 1 pkt 2 ustawy bez względu na stopień finansowania tymi środkami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finansowane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środkami określonymi w art.5 ust.1 pkt 2 ustawy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majątkowe na realizację programu projektu lub zadania wynikające wyłącznie z zawartych umów z podmiotem dysponującym środkami, o których mowa w art.5 ust.1 pkt 2 ustawy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związku z już zawartą umową na realizację programu, projektu lub zadania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związku z już zawartą umową na realizację programu, projektu lub zadania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związku z już zawartą umową na realizację programu, projektu lub zadania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12.5.1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12.6.1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12.7.1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2070"/>
        <w:gridCol w:w="888"/>
        <w:gridCol w:w="1626"/>
        <w:gridCol w:w="1364"/>
        <w:gridCol w:w="1209"/>
        <w:gridCol w:w="1631"/>
        <w:gridCol w:w="1503"/>
        <w:gridCol w:w="1477"/>
        <w:gridCol w:w="1288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Kwoty dotyczące przejęcia i spłaty zobowiązań po samodzielnych publicznych zakładach opieki zdrowotnej oraz </w:t>
            </w: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pokrycia ...</w:t>
            </w:r>
            <w:proofErr w:type="gramEnd"/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Przychody z tytułu kredytów, pożyczek, emisji papierów wartościowych powstające w związku z zawartą po dniu 1 stycznia 2013 r. umową na realizację programu, projektu lub zadania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finansowanego w co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najmniej w 60% środkami, o których mowa wart. 5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ust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 1 pkt 2 ustawy bez względu na stopień finansowania tymi środkami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 zobowiązań wynikających z przejęcia przez jednostkę samorządu terytorialnego zobowiązań po likwidowanych i przekształcanych samodzielnych zakładach opieki zdrowotnej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Dochody budżetowe z tytułu dotacji celowej z budżetu państwa, o której mowa w art. 196 ustawy z dnia 15 kwietnia 2011 r. o działalności leczniczej (Dz.U. Nr 112, poz. 654, z późn.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zm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Wysokość zobowiązań podlegających umorzeniu, o którym mowa w art.190 ustawy o działalności leczniczej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na spłatę przejętych zobowiązań samodzielnego publicznego zakładu opieki zdrowotnej przekształconego na zasadach określonych w przepisach o działalności leczniczej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na spłatę przejętych zobowiązań samodzielnego publicznego zakładu opieki zdrowotnej likwidowanego na zasadach określonych w przepisach o działalności leczniczej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na spłatę zobowiązań samodzielnego publicznego zakładu opieki zdrowotnej przejętych do końca 2011 r. na podstawie przepisów o zakładach opieki zdrowotnej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bieżące na pokrycie ujemnego wyniku finansowego samodzielnego publicznego zakładu opieki zdrowotnej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związku z już zawartą umową na realizację programu, projektu lub zadania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12.8.1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13.7 </w:t>
            </w:r>
          </w:p>
        </w:tc>
      </w:tr>
    </w:tbl>
    <w:p w:rsidR="00785D77" w:rsidRPr="00785D77" w:rsidRDefault="00785D77" w:rsidP="00785D77">
      <w:pPr>
        <w:pageBreakBefore/>
        <w:spacing w:before="100" w:beforeAutospacing="1" w:after="100" w:afterAutospacing="1" w:line="240" w:lineRule="auto"/>
        <w:rPr>
          <w:rFonts w:eastAsia="Times New Roman"/>
          <w:sz w:val="17"/>
          <w:szCs w:val="17"/>
          <w:lang w:eastAsia="pl-PL"/>
        </w:rPr>
      </w:pPr>
      <w:r w:rsidRPr="00785D77">
        <w:rPr>
          <w:rFonts w:eastAsia="Times New Roman"/>
          <w:sz w:val="17"/>
          <w:szCs w:val="17"/>
          <w:lang w:eastAsia="pl-PL"/>
        </w:rPr>
        <w:lastRenderedPageBreak/>
        <w:t> </w:t>
      </w:r>
    </w:p>
    <w:p w:rsidR="00785D77" w:rsidRPr="00785D77" w:rsidRDefault="00785D77" w:rsidP="00785D77">
      <w:pPr>
        <w:shd w:val="clear" w:color="auto" w:fill="F0F0F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785D77">
        <w:rPr>
          <w:rFonts w:ascii="Arial" w:eastAsia="Times New Roman" w:hAnsi="Arial" w:cs="Arial"/>
          <w:sz w:val="17"/>
          <w:szCs w:val="17"/>
          <w:lang w:eastAsia="pl-PL"/>
        </w:rPr>
        <w:t> Zmiany wprowadzone w Wieloletniej Prognozie Finansowej</w:t>
      </w:r>
      <w:r w:rsidRPr="00785D77">
        <w:rPr>
          <w:rFonts w:ascii="Arial" w:eastAsia="Times New Roman" w:hAnsi="Arial" w:cs="Arial"/>
          <w:sz w:val="17"/>
          <w:szCs w:val="17"/>
          <w:lang w:eastAsia="pl-PL"/>
        </w:rPr>
        <w:br/>
        <w:t>Tabela Nr 1 do Objaśnień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"/>
        <w:gridCol w:w="2920"/>
        <w:gridCol w:w="1594"/>
        <w:gridCol w:w="1049"/>
        <w:gridCol w:w="1760"/>
        <w:gridCol w:w="2287"/>
        <w:gridCol w:w="1380"/>
        <w:gridCol w:w="2066"/>
      </w:tblGrid>
      <w:tr w:rsidR="00785D77" w:rsidRPr="00785D77" w:rsidTr="00785D77">
        <w:trPr>
          <w:tblCellSpacing w:w="15" w:type="dxa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Wyszczególnienie 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uzupełniające o długu i jego spłacie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Spłaty rat kapitałowych oraz wykup papierów wartościowych, o których mowa w pkt.5.1., wynikające wyłącznie z tytułu zobowiązań już zaciągniętych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Kwota długu, którego planowana spłata dokona się z wydatków budżetu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Wydatki zmniejszające dług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proofErr w:type="gram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tym: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Wynik operacji </w:t>
            </w:r>
            <w:proofErr w:type="spell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niekasowych</w:t>
            </w:r>
            <w:proofErr w:type="spell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wpływających na kwotę długu ( m.in. umorzenia, różnice kursowe)</w:t>
            </w: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spłata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zobowiązań wymagalnych z lat poprzednich, innych niż w poz. 14.3.3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(14.3.2) </w:t>
            </w: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związane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 umowami zaliczanymi do tytułów dłużnych wliczanych do państwowego długu publicznego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proofErr w:type="gramStart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wypłaty</w:t>
            </w:r>
            <w:proofErr w:type="gramEnd"/>
            <w:r w:rsidRPr="00785D7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z tytułu wymagalnych poręczeń i gwarancji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785D77" w:rsidRPr="00785D77" w:rsidTr="00785D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  <w:r w:rsidRPr="00785D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14.3.1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14.3.2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14.3.3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D77" w:rsidRPr="00785D77" w:rsidRDefault="00785D77" w:rsidP="00785D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85D7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14.4 </w:t>
            </w:r>
          </w:p>
        </w:tc>
      </w:tr>
    </w:tbl>
    <w:p w:rsidR="00E55CA3" w:rsidRDefault="00E55CA3" w:rsidP="00E55CA3">
      <w:pPr>
        <w:pStyle w:val="NormalnyWeb"/>
        <w:shd w:val="clear" w:color="auto" w:fill="F0F0F0"/>
        <w:jc w:val="center"/>
        <w:rPr>
          <w:b/>
          <w:sz w:val="28"/>
          <w:szCs w:val="28"/>
        </w:rPr>
      </w:pPr>
    </w:p>
    <w:p w:rsidR="00E55CA3" w:rsidRDefault="00E55CA3">
      <w:pPr>
        <w:rPr>
          <w:rFonts w:eastAsia="Times New Roman"/>
          <w:b/>
          <w:sz w:val="28"/>
          <w:szCs w:val="28"/>
          <w:lang w:eastAsia="pl-PL"/>
        </w:rPr>
      </w:pPr>
      <w:r>
        <w:rPr>
          <w:b/>
          <w:sz w:val="28"/>
          <w:szCs w:val="28"/>
        </w:rPr>
        <w:br w:type="page"/>
      </w:r>
    </w:p>
    <w:p w:rsidR="00E55CA3" w:rsidRPr="00E55CA3" w:rsidRDefault="00E55CA3" w:rsidP="00E55CA3">
      <w:pPr>
        <w:spacing w:before="100" w:beforeAutospacing="1" w:after="100" w:afterAutospacing="1" w:line="240" w:lineRule="auto"/>
        <w:jc w:val="center"/>
        <w:outlineLvl w:val="2"/>
        <w:rPr>
          <w:rFonts w:eastAsia="Times New Roman"/>
          <w:b/>
          <w:bCs/>
          <w:sz w:val="27"/>
          <w:szCs w:val="27"/>
          <w:lang w:eastAsia="pl-PL"/>
        </w:rPr>
      </w:pPr>
      <w:r w:rsidRPr="00E55CA3">
        <w:rPr>
          <w:rFonts w:eastAsia="Times New Roman"/>
          <w:b/>
          <w:bCs/>
          <w:sz w:val="27"/>
          <w:szCs w:val="27"/>
          <w:lang w:eastAsia="pl-PL"/>
        </w:rPr>
        <w:lastRenderedPageBreak/>
        <w:t>Wykaz Wieloletnich Przedsięwzięć Województwa Świętokrzyskiego na lata 2018 - 2023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359"/>
        <w:gridCol w:w="703"/>
      </w:tblGrid>
      <w:tr w:rsidR="00E55CA3" w:rsidRPr="00E55CA3" w:rsidTr="00E55C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20"/>
                <w:szCs w:val="20"/>
                <w:lang w:eastAsia="pl-PL"/>
              </w:rPr>
              <w:t>Tabela Nr 2 do Objaśnień</w:t>
            </w:r>
          </w:p>
        </w:tc>
        <w:tc>
          <w:tcPr>
            <w:tcW w:w="250" w:type="pct"/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</w:tr>
    </w:tbl>
    <w:p w:rsidR="00E55CA3" w:rsidRPr="00E55CA3" w:rsidRDefault="00E55CA3" w:rsidP="00E55CA3">
      <w:pPr>
        <w:spacing w:line="240" w:lineRule="auto"/>
        <w:rPr>
          <w:rFonts w:eastAsia="Times New Roman"/>
          <w:vanish/>
          <w:sz w:val="17"/>
          <w:szCs w:val="17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1"/>
        <w:gridCol w:w="601"/>
        <w:gridCol w:w="1725"/>
        <w:gridCol w:w="1200"/>
        <w:gridCol w:w="684"/>
        <w:gridCol w:w="670"/>
        <w:gridCol w:w="610"/>
        <w:gridCol w:w="600"/>
        <w:gridCol w:w="600"/>
        <w:gridCol w:w="934"/>
        <w:gridCol w:w="754"/>
        <w:gridCol w:w="904"/>
        <w:gridCol w:w="661"/>
        <w:gridCol w:w="661"/>
        <w:gridCol w:w="661"/>
        <w:gridCol w:w="661"/>
        <w:gridCol w:w="661"/>
        <w:gridCol w:w="904"/>
      </w:tblGrid>
      <w:tr w:rsidR="00E55CA3" w:rsidRPr="00E55CA3" w:rsidTr="00E55CA3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proofErr w:type="spell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Lp</w:t>
            </w:r>
            <w:proofErr w:type="spellEnd"/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Numer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przed-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się-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</w:r>
            <w:proofErr w:type="spell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wzię</w:t>
            </w:r>
            <w:proofErr w:type="spellEnd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</w:r>
            <w:proofErr w:type="spell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cia</w:t>
            </w:r>
            <w:proofErr w:type="spellEnd"/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Nazwa zadania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Cel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Jednostka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odpowie-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</w:r>
            <w:proofErr w:type="spell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dzialna</w:t>
            </w:r>
            <w:proofErr w:type="spellEnd"/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za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koordynację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zadania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Jednostka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wykonująca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zadanie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Okres realizacji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Dział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Rozdział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Łączne nakłady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finansowe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Wydatki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poniesione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w latach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poprzednich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Limit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</w:r>
            <w:proofErr w:type="spell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zobo</w:t>
            </w:r>
            <w:proofErr w:type="spellEnd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</w:t>
            </w:r>
            <w:r w:rsidRPr="00E55CA3">
              <w:rPr>
                <w:rFonts w:eastAsia="Times New Roman"/>
                <w:sz w:val="12"/>
                <w:szCs w:val="12"/>
                <w:lang w:eastAsia="pl-PL"/>
              </w:rPr>
              <w:br/>
              <w:t>wiązań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18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PRZEDSIĘWZIĘCIA OGÓLEM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BIEŻĄCE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MAJĄTKOWE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Programy</w:t>
            </w:r>
            <w:proofErr w:type="gramStart"/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,</w:t>
            </w: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br/>
              <w:t>projekty</w:t>
            </w:r>
            <w:proofErr w:type="gramEnd"/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br/>
              <w:t>lub</w:t>
            </w: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br/>
              <w:t>zadania</w:t>
            </w: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br/>
              <w:t>(razem)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BIEŻĄCE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 budżet j.s.t.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MAJĄTKOWE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 budżet j.s.t.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 xml:space="preserve">1c 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 xml:space="preserve">1c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 xml:space="preserve">Programy, projekty lub zadania pozostałe (inne niż wymienione w </w:t>
            </w:r>
            <w:proofErr w:type="spellStart"/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lit.a</w:t>
            </w:r>
            <w:proofErr w:type="spellEnd"/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 xml:space="preserve"> i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BIEŻĄCE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 budżet j.s.t.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MAJĄTKOWE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 budżet j.s.t.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1c009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Zapewnienie eksploatacji, bezpieczeństwa i rozwoju Portalu "Wrota Świętokrzyskie", serwisu "e-Urząd</w:t>
            </w:r>
            <w:proofErr w:type="gram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" ,</w:t>
            </w:r>
            <w:proofErr w:type="spellStart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>eSOD</w:t>
            </w:r>
            <w:proofErr w:type="spellEnd"/>
            <w:proofErr w:type="gramEnd"/>
            <w:r w:rsidRPr="00E55CA3">
              <w:rPr>
                <w:rFonts w:eastAsia="Times New Roman"/>
                <w:sz w:val="12"/>
                <w:szCs w:val="12"/>
                <w:lang w:eastAsia="pl-PL"/>
              </w:rPr>
              <w:t xml:space="preserve"> oraz serwisu internetowego UMWŚ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 xml:space="preserve">Zapewnienie eksploatacji bezpieczeństwa internetowego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 xml:space="preserve">UMWŚ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 xml:space="preserve">UMWŚ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2011-2019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72095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BIEŻĄCE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 budżet j.s.t.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-51 660,00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b/>
                <w:bCs/>
                <w:sz w:val="12"/>
                <w:szCs w:val="12"/>
                <w:lang w:eastAsia="pl-PL"/>
              </w:rPr>
              <w:t>WYDATKI MAJĄTKOWE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</w:tr>
      <w:tr w:rsidR="00E55CA3" w:rsidRPr="00E55CA3" w:rsidTr="00E55CA3">
        <w:trPr>
          <w:tblCellSpacing w:w="0" w:type="dxa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- budżet j.s.t.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51 660,00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jc w:val="right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5CA3" w:rsidRPr="00E55CA3" w:rsidRDefault="00E55CA3" w:rsidP="00E55CA3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pl-PL"/>
              </w:rPr>
            </w:pPr>
            <w:r w:rsidRPr="00E55CA3">
              <w:rPr>
                <w:rFonts w:eastAsia="Times New Roman"/>
                <w:sz w:val="12"/>
                <w:szCs w:val="12"/>
                <w:lang w:eastAsia="pl-PL"/>
              </w:rPr>
              <w:t>                 </w:t>
            </w:r>
          </w:p>
        </w:tc>
      </w:tr>
    </w:tbl>
    <w:p w:rsidR="003A3F69" w:rsidRPr="003A3F69" w:rsidRDefault="00E55CA3" w:rsidP="00E55CA3">
      <w:pPr>
        <w:spacing w:after="0" w:line="240" w:lineRule="auto"/>
        <w:rPr>
          <w:b/>
          <w:sz w:val="28"/>
          <w:szCs w:val="28"/>
        </w:rPr>
      </w:pPr>
      <w:proofErr w:type="gramStart"/>
      <w:r w:rsidRPr="00E55CA3">
        <w:rPr>
          <w:rFonts w:eastAsia="Times New Roman"/>
          <w:i/>
          <w:iCs/>
          <w:sz w:val="15"/>
          <w:szCs w:val="15"/>
          <w:lang w:eastAsia="pl-PL"/>
        </w:rPr>
        <w:t>strona</w:t>
      </w:r>
      <w:proofErr w:type="gramEnd"/>
      <w:r w:rsidRPr="00E55CA3">
        <w:rPr>
          <w:rFonts w:eastAsia="Times New Roman"/>
          <w:i/>
          <w:iCs/>
          <w:sz w:val="15"/>
          <w:szCs w:val="15"/>
          <w:lang w:eastAsia="pl-PL"/>
        </w:rPr>
        <w:t xml:space="preserve"> 1</w:t>
      </w:r>
    </w:p>
    <w:sectPr w:rsidR="003A3F69" w:rsidRPr="003A3F69" w:rsidSect="003A3F6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6C01"/>
    <w:multiLevelType w:val="hybridMultilevel"/>
    <w:tmpl w:val="98A6BB0E"/>
    <w:lvl w:ilvl="0" w:tplc="89949BF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62F95"/>
    <w:multiLevelType w:val="hybridMultilevel"/>
    <w:tmpl w:val="E8A238CA"/>
    <w:lvl w:ilvl="0" w:tplc="72F6C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8A2558"/>
    <w:multiLevelType w:val="hybridMultilevel"/>
    <w:tmpl w:val="90D4C074"/>
    <w:lvl w:ilvl="0" w:tplc="08587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A1180"/>
    <w:multiLevelType w:val="hybridMultilevel"/>
    <w:tmpl w:val="4008F10E"/>
    <w:lvl w:ilvl="0" w:tplc="4FB4399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67BAA"/>
    <w:multiLevelType w:val="hybridMultilevel"/>
    <w:tmpl w:val="380474DA"/>
    <w:lvl w:ilvl="0" w:tplc="08587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71CB9"/>
    <w:multiLevelType w:val="hybridMultilevel"/>
    <w:tmpl w:val="90D4C074"/>
    <w:lvl w:ilvl="0" w:tplc="08587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C38"/>
    <w:multiLevelType w:val="hybridMultilevel"/>
    <w:tmpl w:val="828257EE"/>
    <w:lvl w:ilvl="0" w:tplc="72F6C9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514F4"/>
    <w:multiLevelType w:val="hybridMultilevel"/>
    <w:tmpl w:val="228006A6"/>
    <w:lvl w:ilvl="0" w:tplc="08587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1C73BB"/>
    <w:multiLevelType w:val="hybridMultilevel"/>
    <w:tmpl w:val="228006A6"/>
    <w:lvl w:ilvl="0" w:tplc="08587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93999"/>
    <w:multiLevelType w:val="hybridMultilevel"/>
    <w:tmpl w:val="90D4C074"/>
    <w:lvl w:ilvl="0" w:tplc="085878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8C"/>
    <w:rsid w:val="0007373D"/>
    <w:rsid w:val="000B21FC"/>
    <w:rsid w:val="000B4D4D"/>
    <w:rsid w:val="00161B6B"/>
    <w:rsid w:val="00195CF1"/>
    <w:rsid w:val="001D1A8A"/>
    <w:rsid w:val="002304F3"/>
    <w:rsid w:val="00235491"/>
    <w:rsid w:val="00254EA9"/>
    <w:rsid w:val="002C5AAE"/>
    <w:rsid w:val="002E0C6F"/>
    <w:rsid w:val="003A1090"/>
    <w:rsid w:val="003A3F69"/>
    <w:rsid w:val="003D4151"/>
    <w:rsid w:val="003E6252"/>
    <w:rsid w:val="00422A8D"/>
    <w:rsid w:val="0045635A"/>
    <w:rsid w:val="006C32BC"/>
    <w:rsid w:val="00785D77"/>
    <w:rsid w:val="007920D5"/>
    <w:rsid w:val="00834E58"/>
    <w:rsid w:val="00836212"/>
    <w:rsid w:val="00880CAF"/>
    <w:rsid w:val="008A3E1A"/>
    <w:rsid w:val="008A6C0B"/>
    <w:rsid w:val="009061B5"/>
    <w:rsid w:val="009276F6"/>
    <w:rsid w:val="00941ABC"/>
    <w:rsid w:val="00A43C48"/>
    <w:rsid w:val="00A50B24"/>
    <w:rsid w:val="00A93E30"/>
    <w:rsid w:val="00AB3ACA"/>
    <w:rsid w:val="00B20E1A"/>
    <w:rsid w:val="00B25216"/>
    <w:rsid w:val="00B32C2E"/>
    <w:rsid w:val="00C0498C"/>
    <w:rsid w:val="00C10FFF"/>
    <w:rsid w:val="00C30CE9"/>
    <w:rsid w:val="00C93DFF"/>
    <w:rsid w:val="00D00628"/>
    <w:rsid w:val="00D1032B"/>
    <w:rsid w:val="00D20410"/>
    <w:rsid w:val="00D2154E"/>
    <w:rsid w:val="00D31699"/>
    <w:rsid w:val="00DD4A43"/>
    <w:rsid w:val="00E0260B"/>
    <w:rsid w:val="00E41571"/>
    <w:rsid w:val="00E55CA3"/>
    <w:rsid w:val="00E8418E"/>
    <w:rsid w:val="00F44125"/>
    <w:rsid w:val="00FA4126"/>
    <w:rsid w:val="00FC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55CA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styltytu">
    <w:name w:val="Mój styl tytuł"/>
    <w:basedOn w:val="Normalny"/>
    <w:link w:val="MjstyltytuZnak"/>
    <w:qFormat/>
    <w:rsid w:val="009061B5"/>
    <w:pPr>
      <w:spacing w:before="120" w:after="120" w:line="240" w:lineRule="auto"/>
      <w:jc w:val="center"/>
    </w:pPr>
    <w:rPr>
      <w:rFonts w:eastAsia="Calibri"/>
      <w:b/>
      <w:sz w:val="28"/>
      <w:lang w:eastAsia="pl-PL"/>
    </w:rPr>
  </w:style>
  <w:style w:type="character" w:customStyle="1" w:styleId="MjstyltytuZnak">
    <w:name w:val="Mój styl tytuł Znak"/>
    <w:basedOn w:val="Domylnaczcionkaakapitu"/>
    <w:link w:val="Mjstyltytu"/>
    <w:rsid w:val="009061B5"/>
    <w:rPr>
      <w:rFonts w:ascii="Times New Roman" w:eastAsia="Calibri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3F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C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2154E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55CA3"/>
    <w:rPr>
      <w:rFonts w:eastAsia="Times New Roman"/>
      <w:b/>
      <w:bCs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55CA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styltytu">
    <w:name w:val="Mój styl tytuł"/>
    <w:basedOn w:val="Normalny"/>
    <w:link w:val="MjstyltytuZnak"/>
    <w:qFormat/>
    <w:rsid w:val="009061B5"/>
    <w:pPr>
      <w:spacing w:before="120" w:after="120" w:line="240" w:lineRule="auto"/>
      <w:jc w:val="center"/>
    </w:pPr>
    <w:rPr>
      <w:rFonts w:eastAsia="Calibri"/>
      <w:b/>
      <w:sz w:val="28"/>
      <w:lang w:eastAsia="pl-PL"/>
    </w:rPr>
  </w:style>
  <w:style w:type="character" w:customStyle="1" w:styleId="MjstyltytuZnak">
    <w:name w:val="Mój styl tytuł Znak"/>
    <w:basedOn w:val="Domylnaczcionkaakapitu"/>
    <w:link w:val="Mjstyltytu"/>
    <w:rsid w:val="009061B5"/>
    <w:rPr>
      <w:rFonts w:ascii="Times New Roman" w:eastAsia="Calibri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3F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C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2154E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55CA3"/>
    <w:rPr>
      <w:rFonts w:eastAsia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2986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3989">
      <w:bodyDiv w:val="1"/>
      <w:marLeft w:val="1021"/>
      <w:marRight w:val="1021"/>
      <w:marTop w:val="284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175">
      <w:bodyDiv w:val="1"/>
      <w:marLeft w:val="1021"/>
      <w:marRight w:val="1021"/>
      <w:marTop w:val="284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28">
      <w:bodyDiv w:val="1"/>
      <w:marLeft w:val="1021"/>
      <w:marRight w:val="1021"/>
      <w:marTop w:val="284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328">
      <w:bodyDiv w:val="1"/>
      <w:marLeft w:val="1021"/>
      <w:marRight w:val="1021"/>
      <w:marTop w:val="284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13</Pages>
  <Words>2557</Words>
  <Characters>15346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Brzeziński, Mariusz</dc:creator>
  <cp:lastModifiedBy>Leszczyńska, Iwona</cp:lastModifiedBy>
  <cp:revision>27</cp:revision>
  <dcterms:created xsi:type="dcterms:W3CDTF">2018-04-19T06:31:00Z</dcterms:created>
  <dcterms:modified xsi:type="dcterms:W3CDTF">2018-04-24T12:40:00Z</dcterms:modified>
</cp:coreProperties>
</file>